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1ABF9" w14:textId="77777777" w:rsidR="00BE6ADD" w:rsidRDefault="00BE6ADD" w:rsidP="00BE6ADD">
      <w:pPr>
        <w:jc w:val="center"/>
        <w:rPr>
          <w:smallCaps/>
        </w:rPr>
      </w:pPr>
      <w:bookmarkStart w:id="0" w:name="_GoBack"/>
      <w:bookmarkEnd w:id="0"/>
      <w:r>
        <w:rPr>
          <w:noProof/>
        </w:rPr>
        <w:drawing>
          <wp:inline distT="0" distB="0" distL="0" distR="0" wp14:anchorId="0CA2902D" wp14:editId="5381C831">
            <wp:extent cx="2638425" cy="904875"/>
            <wp:effectExtent l="0" t="0" r="9525" b="9525"/>
            <wp:docPr id="1" name="Picture 1" descr="NSU-Law2-BlueGray"/>
            <wp:cNvGraphicFramePr/>
            <a:graphic xmlns:a="http://schemas.openxmlformats.org/drawingml/2006/main">
              <a:graphicData uri="http://schemas.openxmlformats.org/drawingml/2006/picture">
                <pic:pic xmlns:pic="http://schemas.openxmlformats.org/drawingml/2006/picture">
                  <pic:nvPicPr>
                    <pic:cNvPr id="1" name="Picture 1" descr="NSU-Law2-BlueGray"/>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inline>
        </w:drawing>
      </w:r>
    </w:p>
    <w:p w14:paraId="0EDF5DAE" w14:textId="77777777" w:rsidR="00BE6ADD" w:rsidRDefault="00BE6ADD" w:rsidP="00BE6ADD">
      <w:pPr>
        <w:rPr>
          <w:smallCaps/>
        </w:rPr>
      </w:pPr>
    </w:p>
    <w:p w14:paraId="2A19971B" w14:textId="77777777" w:rsidR="00BE6ADD" w:rsidRDefault="00BE6ADD" w:rsidP="00BE6ADD">
      <w:pPr>
        <w:jc w:val="center"/>
      </w:pPr>
      <w:r>
        <w:rPr>
          <w:b/>
        </w:rPr>
        <w:t>Call for Papers</w:t>
      </w:r>
    </w:p>
    <w:p w14:paraId="32C6B7CF" w14:textId="77777777" w:rsidR="00BE6ADD" w:rsidRDefault="00BE6ADD" w:rsidP="00BE6ADD">
      <w:pPr>
        <w:jc w:val="center"/>
        <w:rPr>
          <w:b/>
        </w:rPr>
      </w:pPr>
      <w:r>
        <w:rPr>
          <w:b/>
        </w:rPr>
        <w:t>2018 Symposium</w:t>
      </w:r>
    </w:p>
    <w:p w14:paraId="0C875FBA" w14:textId="2DC63C05" w:rsidR="00BE6ADD" w:rsidRDefault="00BE6ADD" w:rsidP="00BE6ADD">
      <w:pPr>
        <w:rPr>
          <w:smallCaps/>
        </w:rPr>
      </w:pPr>
    </w:p>
    <w:p w14:paraId="4070263B" w14:textId="72D34335" w:rsidR="00BE6ADD" w:rsidRDefault="00C420D8" w:rsidP="00BE6ADD">
      <w:pPr>
        <w:rPr>
          <w:smallCaps/>
        </w:rPr>
      </w:pPr>
      <w:r>
        <w:rPr>
          <w:smallCaps/>
        </w:rPr>
        <w:t>Progression 2018</w:t>
      </w:r>
      <w:r w:rsidR="00BE6ADD">
        <w:rPr>
          <w:smallCaps/>
        </w:rPr>
        <w:t xml:space="preserve">: </w:t>
      </w:r>
      <w:r>
        <w:rPr>
          <w:smallCaps/>
        </w:rPr>
        <w:t xml:space="preserve"> </w:t>
      </w:r>
      <w:r w:rsidR="00BE6ADD">
        <w:rPr>
          <w:smallCaps/>
        </w:rPr>
        <w:t>Using Law to Facilitate an Efficacious Innovation Economy</w:t>
      </w:r>
    </w:p>
    <w:p w14:paraId="2DDEB5A2" w14:textId="2517AEDB" w:rsidR="00BE6ADD" w:rsidRDefault="00BE6ADD" w:rsidP="00BE6ADD"/>
    <w:p w14:paraId="53EADA32" w14:textId="38A301E7" w:rsidR="00BE6ADD" w:rsidRDefault="00BE6ADD" w:rsidP="00BE6ADD">
      <w:r>
        <w:t xml:space="preserve">Nova Southeastern University Shepard Broad College of Law and the </w:t>
      </w:r>
      <w:r w:rsidRPr="008E1876">
        <w:rPr>
          <w:i/>
        </w:rPr>
        <w:t>Nova Law Review</w:t>
      </w:r>
      <w:r>
        <w:t xml:space="preserve"> seek submissions for its annua</w:t>
      </w:r>
      <w:r w:rsidR="00127BF2">
        <w:t>l Symposium on October 5</w:t>
      </w:r>
      <w:r>
        <w:t xml:space="preserve">, 2018.  During these stimulating times of flourishing innovation in various sectors worldwide, it is important to discuss and highlight the various underlying issues that coincide with these novel developments.  </w:t>
      </w:r>
      <w:r w:rsidRPr="0023361E">
        <w:rPr>
          <w:i/>
        </w:rPr>
        <w:t xml:space="preserve">Progression 2018: </w:t>
      </w:r>
      <w:r w:rsidR="00127BF2">
        <w:rPr>
          <w:i/>
        </w:rPr>
        <w:t>Using Law to Facilitate an Efficacious Innovation Economy</w:t>
      </w:r>
      <w:r>
        <w:t>, will address the intersection of law and business as it focuses on new technologies, ethics, and regulation.</w:t>
      </w:r>
    </w:p>
    <w:p w14:paraId="73C1A1E7" w14:textId="77777777" w:rsidR="00BE6ADD" w:rsidRDefault="00BE6ADD" w:rsidP="00BE6ADD"/>
    <w:p w14:paraId="666D10C7" w14:textId="77777777" w:rsidR="00BE6ADD" w:rsidRDefault="00BE6ADD" w:rsidP="00BE6ADD">
      <w:r>
        <w:t>The Symposium presents an opportunity for academics, practitioners, and students in a variety of</w:t>
      </w:r>
    </w:p>
    <w:p w14:paraId="012997DC" w14:textId="77777777" w:rsidR="00BE6ADD" w:rsidRDefault="00BE6ADD" w:rsidP="00BE6ADD">
      <w:proofErr w:type="gramStart"/>
      <w:r>
        <w:t>legal</w:t>
      </w:r>
      <w:proofErr w:type="gramEnd"/>
      <w:r>
        <w:t>, business, and technology fields to exchange ideas and explore emerging issues. Interdisciplinary presentations are encouraged. Authors and presenters are invited to submit proposals on topics including but not limited to the following:</w:t>
      </w:r>
    </w:p>
    <w:p w14:paraId="33B3862D" w14:textId="77777777" w:rsidR="00BE6ADD" w:rsidRDefault="00BE6ADD" w:rsidP="00BE6ADD"/>
    <w:tbl>
      <w:tblPr>
        <w:tblW w:w="9522" w:type="dxa"/>
        <w:jc w:val="center"/>
        <w:tblLook w:val="00A0" w:firstRow="1" w:lastRow="0" w:firstColumn="1" w:lastColumn="0" w:noHBand="0" w:noVBand="0"/>
      </w:tblPr>
      <w:tblGrid>
        <w:gridCol w:w="4590"/>
        <w:gridCol w:w="4932"/>
      </w:tblGrid>
      <w:tr w:rsidR="00BE6ADD" w14:paraId="6277B17C" w14:textId="77777777" w:rsidTr="00A95225">
        <w:trPr>
          <w:jc w:val="center"/>
        </w:trPr>
        <w:tc>
          <w:tcPr>
            <w:tcW w:w="4590" w:type="dxa"/>
          </w:tcPr>
          <w:p w14:paraId="092F291F" w14:textId="77777777" w:rsidR="00BE6ADD" w:rsidRDefault="00BE6ADD" w:rsidP="00A95225">
            <w:pPr>
              <w:rPr>
                <w:b/>
                <w:lang w:val="pl-PL"/>
              </w:rPr>
            </w:pPr>
            <w:r>
              <w:rPr>
                <w:b/>
                <w:lang w:val="pl-PL"/>
              </w:rPr>
              <w:t>New and Evolving Technologies</w:t>
            </w:r>
          </w:p>
          <w:p w14:paraId="71492EC9" w14:textId="77777777" w:rsidR="00BE6ADD" w:rsidRDefault="00BE6ADD" w:rsidP="00BE6ADD">
            <w:pPr>
              <w:numPr>
                <w:ilvl w:val="0"/>
                <w:numId w:val="2"/>
              </w:numPr>
              <w:ind w:left="540" w:hanging="360"/>
              <w:jc w:val="left"/>
              <w:rPr>
                <w:lang w:val="pl-PL"/>
              </w:rPr>
            </w:pPr>
            <w:r>
              <w:rPr>
                <w:lang w:val="pl-PL"/>
              </w:rPr>
              <w:t>Internet of Things (IoT)</w:t>
            </w:r>
          </w:p>
          <w:p w14:paraId="1F94D723" w14:textId="77777777" w:rsidR="00BE6ADD" w:rsidRDefault="00BE6ADD" w:rsidP="00BE6ADD">
            <w:pPr>
              <w:numPr>
                <w:ilvl w:val="0"/>
                <w:numId w:val="2"/>
              </w:numPr>
              <w:ind w:left="540" w:hanging="360"/>
              <w:jc w:val="left"/>
              <w:rPr>
                <w:lang w:val="pl-PL"/>
              </w:rPr>
            </w:pPr>
            <w:r>
              <w:rPr>
                <w:lang w:val="pl-PL"/>
              </w:rPr>
              <w:t>Data Analytics</w:t>
            </w:r>
          </w:p>
          <w:p w14:paraId="2C0E0A32" w14:textId="77777777" w:rsidR="00BE6ADD" w:rsidRDefault="00BE6ADD" w:rsidP="00BE6ADD">
            <w:pPr>
              <w:numPr>
                <w:ilvl w:val="0"/>
                <w:numId w:val="2"/>
              </w:numPr>
              <w:ind w:left="540" w:hanging="360"/>
              <w:jc w:val="left"/>
              <w:rPr>
                <w:lang w:val="pl-PL"/>
              </w:rPr>
            </w:pPr>
            <w:r>
              <w:rPr>
                <w:lang w:val="pl-PL"/>
              </w:rPr>
              <w:t>Professional Duties for Lawyers</w:t>
            </w:r>
          </w:p>
          <w:p w14:paraId="31A9E7A6" w14:textId="77777777" w:rsidR="00BE6ADD" w:rsidRDefault="00BE6ADD" w:rsidP="00BE6ADD">
            <w:pPr>
              <w:numPr>
                <w:ilvl w:val="0"/>
                <w:numId w:val="2"/>
              </w:numPr>
              <w:ind w:left="540" w:hanging="360"/>
              <w:jc w:val="left"/>
              <w:rPr>
                <w:lang w:val="pl-PL"/>
              </w:rPr>
            </w:pPr>
            <w:r>
              <w:rPr>
                <w:lang w:val="pl-PL"/>
              </w:rPr>
              <w:t>TRIPS and Other Trade Agreements</w:t>
            </w:r>
          </w:p>
          <w:p w14:paraId="5E2889B8" w14:textId="77777777" w:rsidR="00BE6ADD" w:rsidRDefault="00BE6ADD" w:rsidP="00BE6ADD">
            <w:pPr>
              <w:numPr>
                <w:ilvl w:val="0"/>
                <w:numId w:val="2"/>
              </w:numPr>
              <w:ind w:left="540" w:hanging="360"/>
              <w:jc w:val="left"/>
              <w:rPr>
                <w:lang w:val="pl-PL"/>
              </w:rPr>
            </w:pPr>
            <w:r>
              <w:rPr>
                <w:lang w:val="pl-PL"/>
              </w:rPr>
              <w:t>Virtual Reality</w:t>
            </w:r>
          </w:p>
          <w:p w14:paraId="54383D72" w14:textId="77777777" w:rsidR="00BE6ADD" w:rsidRDefault="00BE6ADD" w:rsidP="00BE6ADD">
            <w:pPr>
              <w:numPr>
                <w:ilvl w:val="0"/>
                <w:numId w:val="2"/>
              </w:numPr>
              <w:ind w:left="540" w:hanging="360"/>
              <w:jc w:val="left"/>
              <w:rPr>
                <w:lang w:val="pl-PL"/>
              </w:rPr>
            </w:pPr>
            <w:r>
              <w:rPr>
                <w:lang w:val="pl-PL"/>
              </w:rPr>
              <w:t xml:space="preserve">Cybersecurity </w:t>
            </w:r>
          </w:p>
          <w:p w14:paraId="0C9A23F2" w14:textId="77777777" w:rsidR="00BE6ADD" w:rsidRDefault="00BE6ADD" w:rsidP="00BE6ADD">
            <w:pPr>
              <w:numPr>
                <w:ilvl w:val="0"/>
                <w:numId w:val="2"/>
              </w:numPr>
              <w:ind w:left="540" w:hanging="360"/>
              <w:jc w:val="left"/>
              <w:rPr>
                <w:lang w:val="pl-PL"/>
              </w:rPr>
            </w:pPr>
            <w:r>
              <w:rPr>
                <w:lang w:val="pl-PL"/>
              </w:rPr>
              <w:t>Evolution of Media</w:t>
            </w:r>
          </w:p>
          <w:p w14:paraId="1061B31D" w14:textId="77777777" w:rsidR="00BE6ADD" w:rsidRDefault="00BE6ADD" w:rsidP="00BE6ADD">
            <w:pPr>
              <w:numPr>
                <w:ilvl w:val="0"/>
                <w:numId w:val="2"/>
              </w:numPr>
              <w:ind w:left="540" w:hanging="360"/>
              <w:jc w:val="left"/>
              <w:rPr>
                <w:lang w:val="pl-PL"/>
              </w:rPr>
            </w:pPr>
            <w:r>
              <w:rPr>
                <w:lang w:val="pl-PL"/>
              </w:rPr>
              <w:t>Advertising and Marketing</w:t>
            </w:r>
          </w:p>
          <w:p w14:paraId="0F211BDB" w14:textId="77777777" w:rsidR="00BE6ADD" w:rsidRDefault="00BE6ADD" w:rsidP="00BE6ADD">
            <w:pPr>
              <w:numPr>
                <w:ilvl w:val="0"/>
                <w:numId w:val="2"/>
              </w:numPr>
              <w:ind w:left="540" w:hanging="360"/>
              <w:jc w:val="left"/>
              <w:rPr>
                <w:lang w:val="pl-PL"/>
              </w:rPr>
            </w:pPr>
            <w:r>
              <w:rPr>
                <w:lang w:val="pl-PL"/>
              </w:rPr>
              <w:t xml:space="preserve">Artificial Intellegince </w:t>
            </w:r>
          </w:p>
          <w:p w14:paraId="04365C81" w14:textId="77777777" w:rsidR="00BE6ADD" w:rsidRDefault="00BE6ADD" w:rsidP="00A95225">
            <w:pPr>
              <w:rPr>
                <w:b/>
                <w:lang w:val="pl-PL"/>
              </w:rPr>
            </w:pPr>
          </w:p>
          <w:p w14:paraId="34878054" w14:textId="77777777" w:rsidR="00BE6ADD" w:rsidRDefault="00BE6ADD" w:rsidP="00A95225">
            <w:pPr>
              <w:rPr>
                <w:b/>
                <w:lang w:val="pl-PL"/>
              </w:rPr>
            </w:pPr>
            <w:r>
              <w:rPr>
                <w:b/>
                <w:lang w:val="pl-PL"/>
              </w:rPr>
              <w:t>Entrepreneurship</w:t>
            </w:r>
          </w:p>
          <w:p w14:paraId="4D52EA96" w14:textId="77777777" w:rsidR="00BE6ADD" w:rsidRDefault="00BE6ADD" w:rsidP="00BE6ADD">
            <w:pPr>
              <w:numPr>
                <w:ilvl w:val="0"/>
                <w:numId w:val="3"/>
              </w:numPr>
              <w:jc w:val="left"/>
              <w:rPr>
                <w:lang w:val="pl-PL"/>
              </w:rPr>
            </w:pPr>
            <w:r>
              <w:rPr>
                <w:lang w:val="pl-PL"/>
              </w:rPr>
              <w:t>Ideation and Ownership</w:t>
            </w:r>
          </w:p>
          <w:p w14:paraId="00FE4EB1" w14:textId="77777777" w:rsidR="00BE6ADD" w:rsidRDefault="00BE6ADD" w:rsidP="00BE6ADD">
            <w:pPr>
              <w:numPr>
                <w:ilvl w:val="0"/>
                <w:numId w:val="3"/>
              </w:numPr>
              <w:jc w:val="left"/>
              <w:rPr>
                <w:lang w:val="pl-PL"/>
              </w:rPr>
            </w:pPr>
            <w:r>
              <w:rPr>
                <w:lang w:val="pl-PL"/>
              </w:rPr>
              <w:t>Meaningful Disclosure in Tech Financing</w:t>
            </w:r>
          </w:p>
          <w:p w14:paraId="371D99BE" w14:textId="77777777" w:rsidR="00BE6ADD" w:rsidRDefault="00BE6ADD" w:rsidP="00BE6ADD">
            <w:pPr>
              <w:numPr>
                <w:ilvl w:val="0"/>
                <w:numId w:val="3"/>
              </w:numPr>
              <w:jc w:val="left"/>
              <w:rPr>
                <w:lang w:val="pl-PL"/>
              </w:rPr>
            </w:pPr>
            <w:r>
              <w:rPr>
                <w:lang w:val="pl-PL"/>
              </w:rPr>
              <w:t>Crowdsourcing, Crowdfunding, and Crowd Financing</w:t>
            </w:r>
          </w:p>
          <w:p w14:paraId="059FE5C5" w14:textId="77777777" w:rsidR="00BE6ADD" w:rsidRDefault="00BE6ADD" w:rsidP="00BE6ADD">
            <w:pPr>
              <w:numPr>
                <w:ilvl w:val="0"/>
                <w:numId w:val="3"/>
              </w:numPr>
              <w:jc w:val="left"/>
              <w:rPr>
                <w:lang w:val="pl-PL"/>
              </w:rPr>
            </w:pPr>
            <w:r>
              <w:rPr>
                <w:lang w:val="pl-PL"/>
              </w:rPr>
              <w:t>Funding Sources and New Markets</w:t>
            </w:r>
          </w:p>
          <w:p w14:paraId="623E6A0A" w14:textId="77777777" w:rsidR="00BE6ADD" w:rsidRDefault="00BE6ADD" w:rsidP="00BE6ADD">
            <w:pPr>
              <w:numPr>
                <w:ilvl w:val="0"/>
                <w:numId w:val="3"/>
              </w:numPr>
              <w:jc w:val="left"/>
              <w:rPr>
                <w:lang w:val="pl-PL"/>
              </w:rPr>
            </w:pPr>
            <w:r>
              <w:rPr>
                <w:lang w:val="pl-PL"/>
              </w:rPr>
              <w:t xml:space="preserve">Cryptocurrencies </w:t>
            </w:r>
          </w:p>
          <w:p w14:paraId="0F76F9AC" w14:textId="77777777" w:rsidR="00BE6ADD" w:rsidRDefault="00BE6ADD" w:rsidP="00BE6ADD">
            <w:pPr>
              <w:numPr>
                <w:ilvl w:val="0"/>
                <w:numId w:val="3"/>
              </w:numPr>
              <w:jc w:val="left"/>
              <w:rPr>
                <w:lang w:val="pl-PL"/>
              </w:rPr>
            </w:pPr>
            <w:r>
              <w:rPr>
                <w:lang w:val="pl-PL"/>
              </w:rPr>
              <w:t>Blockchain Technologies</w:t>
            </w:r>
          </w:p>
          <w:p w14:paraId="6254EE82" w14:textId="77777777" w:rsidR="00BE6ADD" w:rsidRDefault="00BE6ADD" w:rsidP="00BE6ADD">
            <w:pPr>
              <w:numPr>
                <w:ilvl w:val="0"/>
                <w:numId w:val="3"/>
              </w:numPr>
              <w:jc w:val="left"/>
              <w:rPr>
                <w:b/>
                <w:lang w:val="pl-PL"/>
              </w:rPr>
            </w:pPr>
            <w:r>
              <w:rPr>
                <w:lang w:val="pl-PL"/>
              </w:rPr>
              <w:t xml:space="preserve">Risk and Process Management </w:t>
            </w:r>
          </w:p>
          <w:p w14:paraId="6F4EE5D0" w14:textId="77777777" w:rsidR="00BE6ADD" w:rsidRDefault="00BE6ADD" w:rsidP="00A95225">
            <w:pPr>
              <w:jc w:val="left"/>
              <w:rPr>
                <w:lang w:val="pl-PL"/>
              </w:rPr>
            </w:pPr>
          </w:p>
        </w:tc>
        <w:tc>
          <w:tcPr>
            <w:tcW w:w="4932" w:type="dxa"/>
          </w:tcPr>
          <w:p w14:paraId="40D34EAE" w14:textId="77777777" w:rsidR="00BE6ADD" w:rsidRDefault="00BE6ADD" w:rsidP="00A95225">
            <w:pPr>
              <w:rPr>
                <w:b/>
                <w:lang w:val="pl-PL"/>
              </w:rPr>
            </w:pPr>
            <w:r>
              <w:rPr>
                <w:b/>
                <w:lang w:val="pl-PL"/>
              </w:rPr>
              <w:t>Technology in Health Care</w:t>
            </w:r>
          </w:p>
          <w:p w14:paraId="057E3544" w14:textId="77777777" w:rsidR="00BE6ADD" w:rsidRDefault="00BE6ADD" w:rsidP="00BE6ADD">
            <w:pPr>
              <w:numPr>
                <w:ilvl w:val="0"/>
                <w:numId w:val="2"/>
              </w:numPr>
              <w:ind w:left="540" w:hanging="360"/>
              <w:jc w:val="left"/>
              <w:rPr>
                <w:lang w:val="pl-PL"/>
              </w:rPr>
            </w:pPr>
            <w:r>
              <w:rPr>
                <w:lang w:val="pl-PL"/>
              </w:rPr>
              <w:t>Electronic Health Records</w:t>
            </w:r>
          </w:p>
          <w:p w14:paraId="55CE3330" w14:textId="77777777" w:rsidR="00BE6ADD" w:rsidRDefault="00BE6ADD" w:rsidP="00BE6ADD">
            <w:pPr>
              <w:numPr>
                <w:ilvl w:val="0"/>
                <w:numId w:val="2"/>
              </w:numPr>
              <w:ind w:left="540" w:hanging="360"/>
              <w:jc w:val="left"/>
              <w:rPr>
                <w:lang w:val="pl-PL"/>
              </w:rPr>
            </w:pPr>
            <w:r>
              <w:rPr>
                <w:lang w:val="pl-PL"/>
              </w:rPr>
              <w:t>Genetic Patents</w:t>
            </w:r>
          </w:p>
          <w:p w14:paraId="628EAF32" w14:textId="77777777" w:rsidR="00BE6ADD" w:rsidRDefault="00BE6ADD" w:rsidP="00BE6ADD">
            <w:pPr>
              <w:numPr>
                <w:ilvl w:val="0"/>
                <w:numId w:val="2"/>
              </w:numPr>
              <w:ind w:left="540" w:hanging="360"/>
              <w:jc w:val="left"/>
              <w:rPr>
                <w:lang w:val="pl-PL"/>
              </w:rPr>
            </w:pPr>
            <w:r>
              <w:rPr>
                <w:lang w:val="pl-PL"/>
              </w:rPr>
              <w:t>Genomic Pharmacology</w:t>
            </w:r>
          </w:p>
          <w:p w14:paraId="16E40D8C" w14:textId="77777777" w:rsidR="00BE6ADD" w:rsidRDefault="00BE6ADD" w:rsidP="00BE6ADD">
            <w:pPr>
              <w:numPr>
                <w:ilvl w:val="0"/>
                <w:numId w:val="2"/>
              </w:numPr>
              <w:ind w:left="540" w:hanging="360"/>
              <w:jc w:val="left"/>
              <w:rPr>
                <w:lang w:val="pl-PL"/>
              </w:rPr>
            </w:pPr>
            <w:r>
              <w:rPr>
                <w:lang w:val="pl-PL"/>
              </w:rPr>
              <w:t>Bioinformatics</w:t>
            </w:r>
          </w:p>
          <w:p w14:paraId="45E87B6A" w14:textId="77777777" w:rsidR="00BE6ADD" w:rsidRDefault="00BE6ADD" w:rsidP="00BE6ADD">
            <w:pPr>
              <w:numPr>
                <w:ilvl w:val="0"/>
                <w:numId w:val="2"/>
              </w:numPr>
              <w:ind w:left="540" w:hanging="360"/>
              <w:jc w:val="left"/>
              <w:rPr>
                <w:lang w:val="pl-PL"/>
              </w:rPr>
            </w:pPr>
            <w:r>
              <w:rPr>
                <w:lang w:val="pl-PL"/>
              </w:rPr>
              <w:t>Medical Devices</w:t>
            </w:r>
          </w:p>
          <w:p w14:paraId="02D37D42" w14:textId="77777777" w:rsidR="00BE6ADD" w:rsidRDefault="00BE6ADD" w:rsidP="00BE6ADD">
            <w:pPr>
              <w:numPr>
                <w:ilvl w:val="0"/>
                <w:numId w:val="2"/>
              </w:numPr>
              <w:ind w:left="540" w:hanging="360"/>
              <w:jc w:val="left"/>
              <w:rPr>
                <w:lang w:val="pl-PL"/>
              </w:rPr>
            </w:pPr>
            <w:r>
              <w:t>Cybersecurity of Medical Devices</w:t>
            </w:r>
          </w:p>
          <w:p w14:paraId="06790819" w14:textId="77777777" w:rsidR="00BE6ADD" w:rsidRDefault="00BE6ADD" w:rsidP="00BE6ADD">
            <w:pPr>
              <w:numPr>
                <w:ilvl w:val="0"/>
                <w:numId w:val="2"/>
              </w:numPr>
              <w:ind w:left="540" w:hanging="360"/>
              <w:jc w:val="left"/>
              <w:rPr>
                <w:lang w:val="pl-PL"/>
              </w:rPr>
            </w:pPr>
            <w:r>
              <w:t>E-health</w:t>
            </w:r>
          </w:p>
          <w:p w14:paraId="6C38669F" w14:textId="77777777" w:rsidR="00BE6ADD" w:rsidRDefault="00BE6ADD" w:rsidP="00BE6ADD">
            <w:pPr>
              <w:numPr>
                <w:ilvl w:val="0"/>
                <w:numId w:val="2"/>
              </w:numPr>
              <w:ind w:left="540" w:hanging="360"/>
              <w:jc w:val="left"/>
              <w:rPr>
                <w:lang w:val="pl-PL"/>
              </w:rPr>
            </w:pPr>
            <w:r>
              <w:rPr>
                <w:lang w:val="pl-PL"/>
              </w:rPr>
              <w:t>Patent Evergreening</w:t>
            </w:r>
          </w:p>
          <w:p w14:paraId="4AC5D3CB" w14:textId="77777777" w:rsidR="00BE6ADD" w:rsidRDefault="00BE6ADD" w:rsidP="00BE6ADD">
            <w:pPr>
              <w:numPr>
                <w:ilvl w:val="0"/>
                <w:numId w:val="2"/>
              </w:numPr>
              <w:ind w:left="540" w:hanging="360"/>
              <w:jc w:val="left"/>
              <w:rPr>
                <w:lang w:val="pl-PL"/>
              </w:rPr>
            </w:pPr>
            <w:r>
              <w:rPr>
                <w:lang w:val="pl-PL"/>
              </w:rPr>
              <w:t>Neuroscience</w:t>
            </w:r>
          </w:p>
          <w:p w14:paraId="225AEEFC" w14:textId="77777777" w:rsidR="00BE6ADD" w:rsidRDefault="00BE6ADD" w:rsidP="00A95225">
            <w:pPr>
              <w:rPr>
                <w:b/>
                <w:lang w:val="pl-PL"/>
              </w:rPr>
            </w:pPr>
          </w:p>
          <w:p w14:paraId="158F0407" w14:textId="77777777" w:rsidR="00BE6ADD" w:rsidRDefault="00BE6ADD" w:rsidP="00A95225">
            <w:pPr>
              <w:rPr>
                <w:b/>
                <w:lang w:val="pl-PL"/>
              </w:rPr>
            </w:pPr>
            <w:r>
              <w:rPr>
                <w:b/>
                <w:lang w:val="pl-PL"/>
              </w:rPr>
              <w:t>Intellectual Property</w:t>
            </w:r>
          </w:p>
          <w:p w14:paraId="2A9A4926" w14:textId="77777777" w:rsidR="00BE6ADD" w:rsidRDefault="00BE6ADD" w:rsidP="00BE6ADD">
            <w:pPr>
              <w:numPr>
                <w:ilvl w:val="0"/>
                <w:numId w:val="2"/>
              </w:numPr>
              <w:ind w:left="540" w:hanging="360"/>
              <w:jc w:val="left"/>
              <w:rPr>
                <w:lang w:val="pl-PL"/>
              </w:rPr>
            </w:pPr>
            <w:r>
              <w:rPr>
                <w:lang w:val="pl-PL"/>
              </w:rPr>
              <w:t>Patentability and Enforcement</w:t>
            </w:r>
          </w:p>
          <w:p w14:paraId="7BF51104" w14:textId="77777777" w:rsidR="00BE6ADD" w:rsidRDefault="00BE6ADD" w:rsidP="00BE6ADD">
            <w:pPr>
              <w:numPr>
                <w:ilvl w:val="0"/>
                <w:numId w:val="2"/>
              </w:numPr>
              <w:ind w:left="540" w:hanging="360"/>
              <w:jc w:val="left"/>
              <w:rPr>
                <w:lang w:val="pl-PL"/>
              </w:rPr>
            </w:pPr>
            <w:r>
              <w:rPr>
                <w:lang w:val="pl-PL"/>
              </w:rPr>
              <w:t>Employee Ownership of Innovation</w:t>
            </w:r>
          </w:p>
          <w:p w14:paraId="039ABAF8" w14:textId="77777777" w:rsidR="00BE6ADD" w:rsidRDefault="00BE6ADD" w:rsidP="00BE6ADD">
            <w:pPr>
              <w:numPr>
                <w:ilvl w:val="0"/>
                <w:numId w:val="2"/>
              </w:numPr>
              <w:ind w:left="540" w:hanging="360"/>
              <w:jc w:val="left"/>
              <w:rPr>
                <w:lang w:val="pl-PL"/>
              </w:rPr>
            </w:pPr>
            <w:r>
              <w:rPr>
                <w:lang w:val="pl-PL"/>
              </w:rPr>
              <w:t>Trade Secrets</w:t>
            </w:r>
          </w:p>
          <w:p w14:paraId="620380F3" w14:textId="77777777" w:rsidR="00BE6ADD" w:rsidRDefault="00BE6ADD" w:rsidP="00BE6ADD">
            <w:pPr>
              <w:numPr>
                <w:ilvl w:val="0"/>
                <w:numId w:val="2"/>
              </w:numPr>
              <w:ind w:left="540" w:hanging="360"/>
              <w:jc w:val="left"/>
              <w:rPr>
                <w:lang w:val="pl-PL"/>
              </w:rPr>
            </w:pPr>
            <w:r>
              <w:rPr>
                <w:lang w:val="pl-PL"/>
              </w:rPr>
              <w:t>Publicity Rights across Industries and Jurisdictions</w:t>
            </w:r>
          </w:p>
          <w:p w14:paraId="3B76E7B5" w14:textId="77777777" w:rsidR="00BE6ADD" w:rsidRDefault="00BE6ADD" w:rsidP="00BE6ADD">
            <w:pPr>
              <w:numPr>
                <w:ilvl w:val="0"/>
                <w:numId w:val="2"/>
              </w:numPr>
              <w:ind w:left="540" w:hanging="360"/>
              <w:jc w:val="left"/>
              <w:rPr>
                <w:lang w:val="pl-PL"/>
              </w:rPr>
            </w:pPr>
            <w:r>
              <w:rPr>
                <w:lang w:val="pl-PL"/>
              </w:rPr>
              <w:t>Privacy</w:t>
            </w:r>
          </w:p>
          <w:p w14:paraId="5BA3E724" w14:textId="77777777" w:rsidR="00BE6ADD" w:rsidRDefault="00BE6ADD" w:rsidP="00BE6ADD">
            <w:pPr>
              <w:numPr>
                <w:ilvl w:val="0"/>
                <w:numId w:val="2"/>
              </w:numPr>
              <w:ind w:left="540" w:hanging="360"/>
              <w:jc w:val="left"/>
              <w:rPr>
                <w:lang w:val="pl-PL"/>
              </w:rPr>
            </w:pPr>
            <w:r>
              <w:rPr>
                <w:lang w:val="pl-PL"/>
              </w:rPr>
              <w:t>Copyright and Media Legislation</w:t>
            </w:r>
          </w:p>
          <w:p w14:paraId="39E7287F" w14:textId="77777777" w:rsidR="00BE6ADD" w:rsidRPr="00501218" w:rsidRDefault="00BE6ADD" w:rsidP="00BE6ADD">
            <w:pPr>
              <w:numPr>
                <w:ilvl w:val="0"/>
                <w:numId w:val="2"/>
              </w:numPr>
              <w:ind w:left="540" w:hanging="360"/>
              <w:jc w:val="left"/>
            </w:pPr>
            <w:r w:rsidRPr="00305202">
              <w:rPr>
                <w:lang w:val="pl-PL"/>
              </w:rPr>
              <w:t>Education policy for tomorrow’s workforce</w:t>
            </w:r>
          </w:p>
          <w:p w14:paraId="7409507F" w14:textId="77777777" w:rsidR="00BE6ADD" w:rsidRPr="00BE6ADD" w:rsidRDefault="00BE6ADD" w:rsidP="00BE6ADD">
            <w:pPr>
              <w:numPr>
                <w:ilvl w:val="0"/>
                <w:numId w:val="2"/>
              </w:numPr>
              <w:ind w:left="540" w:hanging="360"/>
              <w:jc w:val="left"/>
            </w:pPr>
            <w:r>
              <w:rPr>
                <w:lang w:val="pl-PL"/>
              </w:rPr>
              <w:t>Artificial Intelligence Regulation</w:t>
            </w:r>
          </w:p>
          <w:p w14:paraId="24621977" w14:textId="77777777" w:rsidR="00BE6ADD" w:rsidRDefault="00BE6ADD" w:rsidP="00BE6ADD">
            <w:pPr>
              <w:numPr>
                <w:ilvl w:val="0"/>
                <w:numId w:val="2"/>
              </w:numPr>
              <w:ind w:left="540" w:hanging="360"/>
              <w:jc w:val="left"/>
            </w:pPr>
            <w:r>
              <w:rPr>
                <w:lang w:val="pl-PL"/>
              </w:rPr>
              <w:t>Foreign IP Law Regimes Effects on Domestic Affairs</w:t>
            </w:r>
          </w:p>
        </w:tc>
      </w:tr>
    </w:tbl>
    <w:p w14:paraId="24E0D849" w14:textId="77777777" w:rsidR="00BE6ADD" w:rsidRDefault="00BE6ADD" w:rsidP="00BE6ADD"/>
    <w:p w14:paraId="60D6341F" w14:textId="77777777" w:rsidR="00BE6ADD" w:rsidRDefault="00BE6ADD" w:rsidP="00BE6ADD">
      <w:pPr>
        <w:rPr>
          <w:b/>
          <w:szCs w:val="22"/>
        </w:rPr>
        <w:sectPr w:rsidR="00BE6ADD" w:rsidSect="00BE6ADD">
          <w:pgSz w:w="12240" w:h="15840"/>
          <w:pgMar w:top="810" w:right="1440" w:bottom="1440" w:left="1440" w:header="720" w:footer="720" w:gutter="0"/>
          <w:cols w:space="720"/>
          <w:docGrid w:linePitch="360"/>
        </w:sectPr>
      </w:pPr>
    </w:p>
    <w:p w14:paraId="149A6DAB" w14:textId="77777777" w:rsidR="00BE6ADD" w:rsidRPr="0005653E" w:rsidRDefault="00BE6ADD" w:rsidP="00BE6ADD">
      <w:pPr>
        <w:ind w:right="570"/>
        <w:jc w:val="left"/>
        <w:rPr>
          <w:rFonts w:eastAsia="Cambria" w:cs="Times New Roman"/>
          <w:bCs/>
          <w:sz w:val="24"/>
          <w:u w:val="single"/>
        </w:rPr>
      </w:pPr>
    </w:p>
    <w:p w14:paraId="036DFBE3" w14:textId="77777777" w:rsidR="00BE6ADD" w:rsidRPr="0005653E" w:rsidRDefault="00BE6ADD" w:rsidP="00BE6ADD">
      <w:pPr>
        <w:ind w:right="570"/>
        <w:jc w:val="left"/>
        <w:rPr>
          <w:rFonts w:eastAsia="Cambria" w:cs="Times New Roman"/>
          <w:bCs/>
          <w:sz w:val="24"/>
          <w:u w:val="single"/>
        </w:rPr>
      </w:pPr>
      <w:r w:rsidRPr="0005653E">
        <w:rPr>
          <w:rFonts w:eastAsia="Cambria" w:cs="Times New Roman"/>
          <w:bCs/>
          <w:sz w:val="24"/>
          <w:u w:val="single"/>
        </w:rPr>
        <w:t>Submissions &amp; Important Dates:</w:t>
      </w:r>
    </w:p>
    <w:p w14:paraId="2D64E0DF" w14:textId="77777777" w:rsidR="00BE6ADD" w:rsidRPr="0005653E" w:rsidRDefault="00BE6ADD" w:rsidP="00BE6ADD">
      <w:pPr>
        <w:ind w:left="1440" w:right="570"/>
        <w:jc w:val="left"/>
        <w:rPr>
          <w:rFonts w:eastAsia="Cambria" w:cs="Times New Roman"/>
          <w:bCs/>
          <w:sz w:val="24"/>
        </w:rPr>
      </w:pPr>
      <w:r w:rsidRPr="0005653E">
        <w:rPr>
          <w:rFonts w:eastAsia="Cambria" w:cs="Times New Roman"/>
          <w:bCs/>
          <w:sz w:val="24"/>
        </w:rPr>
        <w:t> </w:t>
      </w:r>
    </w:p>
    <w:p w14:paraId="1213A7B3" w14:textId="0BE2370C" w:rsidR="00BE6ADD" w:rsidRPr="0005653E" w:rsidRDefault="00BE6ADD" w:rsidP="00BE6ADD">
      <w:pPr>
        <w:ind w:left="690" w:right="570"/>
        <w:jc w:val="left"/>
        <w:rPr>
          <w:rFonts w:eastAsia="Cambria" w:cs="Times New Roman"/>
          <w:bCs/>
          <w:sz w:val="24"/>
        </w:rPr>
      </w:pPr>
      <w:r w:rsidRPr="0005653E">
        <w:rPr>
          <w:rFonts w:eastAsia="Cambria" w:cs="Times New Roman"/>
          <w:bCs/>
          <w:sz w:val="24"/>
        </w:rPr>
        <w:t xml:space="preserve">- Please submit materials to </w:t>
      </w:r>
      <w:r w:rsidR="00127BF2">
        <w:rPr>
          <w:rFonts w:eastAsia="Cambria" w:cs="Times New Roman"/>
          <w:bCs/>
          <w:sz w:val="24"/>
        </w:rPr>
        <w:t>lawreview@nova.edu</w:t>
      </w:r>
    </w:p>
    <w:p w14:paraId="17154BF5" w14:textId="77777777" w:rsidR="00BE6ADD" w:rsidRPr="0005653E" w:rsidRDefault="00BE6ADD" w:rsidP="00BE6ADD">
      <w:pPr>
        <w:ind w:left="690" w:right="570"/>
        <w:jc w:val="left"/>
        <w:rPr>
          <w:rFonts w:eastAsia="Cambria" w:cs="Times New Roman"/>
          <w:bCs/>
          <w:sz w:val="24"/>
        </w:rPr>
      </w:pPr>
      <w:r w:rsidRPr="0005653E">
        <w:rPr>
          <w:rFonts w:eastAsia="Cambria" w:cs="Times New Roman"/>
          <w:bCs/>
          <w:sz w:val="24"/>
        </w:rPr>
        <w:lastRenderedPageBreak/>
        <w:t>- Submission Deadline for Abstracts: July 1, 2018  </w:t>
      </w:r>
    </w:p>
    <w:p w14:paraId="270FA5E3" w14:textId="77777777" w:rsidR="00BE6ADD" w:rsidRPr="0005653E" w:rsidRDefault="00BE6ADD" w:rsidP="00BE6ADD">
      <w:pPr>
        <w:ind w:left="690" w:right="570"/>
        <w:jc w:val="left"/>
        <w:rPr>
          <w:rFonts w:eastAsia="Cambria" w:cs="Times New Roman"/>
          <w:bCs/>
          <w:sz w:val="24"/>
        </w:rPr>
      </w:pPr>
      <w:r w:rsidRPr="0005653E">
        <w:rPr>
          <w:rFonts w:eastAsia="Cambria" w:cs="Times New Roman"/>
          <w:bCs/>
          <w:sz w:val="24"/>
        </w:rPr>
        <w:t>- Submission Deadline for Articles: September 15, 2018</w:t>
      </w:r>
    </w:p>
    <w:p w14:paraId="1E5BAB91" w14:textId="77777777" w:rsidR="00BE6ADD" w:rsidRPr="0005653E" w:rsidRDefault="00BE6ADD" w:rsidP="00BE6ADD">
      <w:pPr>
        <w:ind w:left="690" w:right="570"/>
        <w:jc w:val="left"/>
        <w:rPr>
          <w:rFonts w:eastAsia="Cambria" w:cs="Times New Roman"/>
          <w:bCs/>
          <w:sz w:val="24"/>
        </w:rPr>
      </w:pPr>
      <w:r w:rsidRPr="0005653E">
        <w:rPr>
          <w:rFonts w:eastAsia="Cambria" w:cs="Times New Roman"/>
          <w:bCs/>
          <w:sz w:val="24"/>
        </w:rPr>
        <w:t xml:space="preserve">- Symposium Date: October </w:t>
      </w:r>
      <w:r>
        <w:rPr>
          <w:rFonts w:eastAsia="Cambria" w:cs="Times New Roman"/>
          <w:bCs/>
          <w:sz w:val="24"/>
        </w:rPr>
        <w:t>5, 2018</w:t>
      </w:r>
    </w:p>
    <w:p w14:paraId="3DD192B2" w14:textId="77777777" w:rsidR="00BE6ADD" w:rsidRPr="0005653E" w:rsidRDefault="00BE6ADD" w:rsidP="00BE6ADD">
      <w:pPr>
        <w:ind w:right="570"/>
        <w:jc w:val="left"/>
        <w:rPr>
          <w:rFonts w:eastAsia="Cambria" w:cs="Times New Roman"/>
          <w:bCs/>
          <w:sz w:val="24"/>
        </w:rPr>
      </w:pPr>
    </w:p>
    <w:p w14:paraId="2BF59945" w14:textId="403634B0" w:rsidR="00BE6ADD" w:rsidRPr="0005653E" w:rsidRDefault="00BE6ADD" w:rsidP="00BE6ADD">
      <w:pPr>
        <w:rPr>
          <w:rFonts w:eastAsia="Cambria" w:cs="Times New Roman"/>
          <w:bCs/>
          <w:sz w:val="24"/>
        </w:rPr>
      </w:pPr>
      <w:r w:rsidRPr="0005653E">
        <w:rPr>
          <w:rFonts w:eastAsia="Cambria" w:cs="Times New Roman"/>
          <w:bCs/>
          <w:sz w:val="24"/>
          <w:u w:val="single"/>
        </w:rPr>
        <w:t>Law Review Published Article</w:t>
      </w:r>
      <w:r w:rsidRPr="0005653E">
        <w:rPr>
          <w:rFonts w:eastAsia="Cambria" w:cs="Times New Roman"/>
          <w:bCs/>
          <w:sz w:val="24"/>
        </w:rPr>
        <w:t xml:space="preserve">: </w:t>
      </w:r>
      <w:r w:rsidR="00127BF2">
        <w:rPr>
          <w:rFonts w:eastAsia="Cambria" w:cs="Times New Roman"/>
          <w:bCs/>
          <w:sz w:val="24"/>
        </w:rPr>
        <w:t xml:space="preserve"> </w:t>
      </w:r>
      <w:r w:rsidRPr="0005653E">
        <w:rPr>
          <w:rFonts w:eastAsia="Cambria" w:cs="Times New Roman"/>
          <w:bCs/>
          <w:sz w:val="24"/>
        </w:rPr>
        <w:t xml:space="preserve">The </w:t>
      </w:r>
      <w:r w:rsidRPr="0005653E">
        <w:rPr>
          <w:rFonts w:eastAsia="Cambria" w:cs="Times New Roman"/>
          <w:bCs/>
          <w:i/>
          <w:sz w:val="24"/>
        </w:rPr>
        <w:t>Nova Law Review</w:t>
      </w:r>
      <w:r w:rsidRPr="0005653E">
        <w:rPr>
          <w:rFonts w:eastAsia="Cambria" w:cs="Times New Roman"/>
          <w:bCs/>
          <w:sz w:val="24"/>
        </w:rPr>
        <w:t xml:space="preserve"> will review, edit and publish submissions in the 201</w:t>
      </w:r>
      <w:r>
        <w:rPr>
          <w:rFonts w:eastAsia="Cambria" w:cs="Times New Roman"/>
          <w:bCs/>
          <w:sz w:val="24"/>
        </w:rPr>
        <w:t>9</w:t>
      </w:r>
      <w:r w:rsidRPr="0005653E">
        <w:rPr>
          <w:rFonts w:eastAsia="Cambria" w:cs="Times New Roman"/>
          <w:bCs/>
          <w:sz w:val="24"/>
        </w:rPr>
        <w:t xml:space="preserve"> Symposium issue.  Articles, as well as case studies and abstracts of research in progress, will be considered for the symposium program for presentation purposes.  Only complete articles, however, will be published in the law review.  Abstracts for these papers will be due no later than the July 1, 2018 deadline and will be accepted on a rolling basis until that time.  </w:t>
      </w:r>
    </w:p>
    <w:p w14:paraId="0805C768" w14:textId="77777777" w:rsidR="00BE6ADD" w:rsidRPr="0005653E" w:rsidRDefault="00BE6ADD" w:rsidP="00BE6ADD">
      <w:pPr>
        <w:rPr>
          <w:rFonts w:eastAsia="Cambria" w:cs="Times New Roman"/>
          <w:bCs/>
          <w:sz w:val="24"/>
        </w:rPr>
      </w:pPr>
    </w:p>
    <w:p w14:paraId="60BFA45D" w14:textId="58B8AF9E" w:rsidR="00BE6ADD" w:rsidRPr="0005653E" w:rsidRDefault="00BE6ADD" w:rsidP="00BE6ADD">
      <w:pPr>
        <w:rPr>
          <w:rFonts w:eastAsia="Cambria" w:cs="Times New Roman"/>
          <w:bCs/>
          <w:sz w:val="24"/>
        </w:rPr>
      </w:pPr>
      <w:r w:rsidRPr="0005653E">
        <w:rPr>
          <w:rFonts w:eastAsia="Cambria" w:cs="Times New Roman"/>
          <w:bCs/>
          <w:sz w:val="24"/>
          <w:u w:val="single"/>
        </w:rPr>
        <w:t>Presentations (Without Publication) based on Abstracts</w:t>
      </w:r>
      <w:r w:rsidRPr="0005653E">
        <w:rPr>
          <w:rFonts w:eastAsia="Cambria" w:cs="Times New Roman"/>
          <w:bCs/>
          <w:sz w:val="24"/>
        </w:rPr>
        <w:t xml:space="preserve">: </w:t>
      </w:r>
      <w:r w:rsidR="00127BF2">
        <w:rPr>
          <w:rFonts w:eastAsia="Cambria" w:cs="Times New Roman"/>
          <w:bCs/>
          <w:sz w:val="24"/>
        </w:rPr>
        <w:t xml:space="preserve"> </w:t>
      </w:r>
      <w:r w:rsidRPr="0005653E">
        <w:rPr>
          <w:rFonts w:eastAsia="Cambria" w:cs="Times New Roman"/>
          <w:bCs/>
          <w:sz w:val="24"/>
        </w:rPr>
        <w:t xml:space="preserve">The </w:t>
      </w:r>
      <w:r w:rsidRPr="0005653E">
        <w:rPr>
          <w:rFonts w:eastAsia="Cambria" w:cs="Times New Roman"/>
          <w:bCs/>
          <w:i/>
          <w:sz w:val="24"/>
        </w:rPr>
        <w:t>Nova Law Review</w:t>
      </w:r>
      <w:r w:rsidRPr="0005653E">
        <w:rPr>
          <w:rFonts w:eastAsia="Cambria" w:cs="Times New Roman"/>
          <w:bCs/>
          <w:sz w:val="24"/>
        </w:rPr>
        <w:t xml:space="preserve"> will review and select presentations for the symposium.  If you are interested in presenting without submitting a publishable article, an abstract of the presentation must be submitted by the July 1, 2018 deadline and will be accepted on a rolling basis until that time.  </w:t>
      </w:r>
    </w:p>
    <w:p w14:paraId="33117DD8" w14:textId="77777777" w:rsidR="00BE6ADD" w:rsidRPr="0005653E" w:rsidRDefault="00BE6ADD" w:rsidP="00BE6ADD">
      <w:pPr>
        <w:rPr>
          <w:rFonts w:eastAsia="Cambria" w:cs="Times New Roman"/>
          <w:bCs/>
          <w:sz w:val="24"/>
        </w:rPr>
      </w:pPr>
    </w:p>
    <w:p w14:paraId="41159D30" w14:textId="4CB44A6E" w:rsidR="00BE6ADD" w:rsidRPr="0005653E" w:rsidRDefault="00127BF2" w:rsidP="00BE6ADD">
      <w:pPr>
        <w:rPr>
          <w:rFonts w:eastAsia="Cambria" w:cs="Times New Roman"/>
          <w:sz w:val="24"/>
        </w:rPr>
      </w:pPr>
      <w:bookmarkStart w:id="1" w:name="_Hlk482777353"/>
      <w:r>
        <w:rPr>
          <w:rFonts w:eastAsia="Cambria" w:cs="Times New Roman"/>
          <w:sz w:val="24"/>
          <w:u w:val="single"/>
        </w:rPr>
        <w:t xml:space="preserve">About NSU Law’s </w:t>
      </w:r>
      <w:r w:rsidR="00BE6ADD" w:rsidRPr="0005653E">
        <w:rPr>
          <w:rFonts w:eastAsia="Cambria" w:cs="Times New Roman"/>
          <w:sz w:val="24"/>
          <w:u w:val="single"/>
        </w:rPr>
        <w:t>Sharon and Mitchell W. Berger Entrepreneur Law Clinic</w:t>
      </w:r>
      <w:bookmarkEnd w:id="1"/>
      <w:r w:rsidR="00BE6ADD" w:rsidRPr="0005653E">
        <w:rPr>
          <w:rFonts w:eastAsia="Cambria" w:cs="Times New Roman"/>
          <w:sz w:val="24"/>
        </w:rPr>
        <w:t xml:space="preserve">: </w:t>
      </w:r>
      <w:r>
        <w:rPr>
          <w:rFonts w:eastAsia="Cambria" w:cs="Times New Roman"/>
          <w:sz w:val="24"/>
        </w:rPr>
        <w:t xml:space="preserve"> </w:t>
      </w:r>
      <w:r w:rsidR="00BE6ADD" w:rsidRPr="0005653E">
        <w:rPr>
          <w:rFonts w:eastAsia="Cambria" w:cs="Times New Roman"/>
          <w:sz w:val="24"/>
        </w:rPr>
        <w:t xml:space="preserve">In January 2017, NSU Law established the </w:t>
      </w:r>
      <w:bookmarkStart w:id="2" w:name="_Hlk482352633"/>
      <w:r w:rsidR="00BE6ADD" w:rsidRPr="0005653E">
        <w:rPr>
          <w:rFonts w:eastAsia="Cambria" w:cs="Times New Roman"/>
          <w:sz w:val="24"/>
        </w:rPr>
        <w:t>Sharon and Mitchell W. Berger Entrepreneur Law Clinic</w:t>
      </w:r>
      <w:bookmarkEnd w:id="2"/>
      <w:r w:rsidR="00BE6ADD" w:rsidRPr="0005653E">
        <w:rPr>
          <w:rFonts w:eastAsia="Cambria" w:cs="Times New Roman"/>
          <w:sz w:val="24"/>
        </w:rPr>
        <w:t xml:space="preserve">. The gift has three components: </w:t>
      </w:r>
    </w:p>
    <w:p w14:paraId="753C0C7B" w14:textId="77777777" w:rsidR="00BE6ADD" w:rsidRPr="0005653E" w:rsidRDefault="00BE6ADD" w:rsidP="00BE6ADD">
      <w:pPr>
        <w:numPr>
          <w:ilvl w:val="0"/>
          <w:numId w:val="1"/>
        </w:numPr>
        <w:jc w:val="left"/>
        <w:rPr>
          <w:rFonts w:eastAsia="Calibri" w:cs="Times New Roman"/>
          <w:sz w:val="24"/>
        </w:rPr>
      </w:pPr>
      <w:r w:rsidRPr="0005653E">
        <w:rPr>
          <w:rFonts w:eastAsia="Calibri" w:cs="Times New Roman"/>
          <w:sz w:val="24"/>
        </w:rPr>
        <w:t>A direct legal services component operated by the College of Law</w:t>
      </w:r>
    </w:p>
    <w:p w14:paraId="1BB7C6EB" w14:textId="77777777" w:rsidR="00BE6ADD" w:rsidRPr="0005653E" w:rsidRDefault="00BE6ADD" w:rsidP="00BE6ADD">
      <w:pPr>
        <w:numPr>
          <w:ilvl w:val="0"/>
          <w:numId w:val="1"/>
        </w:numPr>
        <w:jc w:val="left"/>
        <w:rPr>
          <w:rFonts w:eastAsia="Calibri" w:cs="Times New Roman"/>
          <w:sz w:val="24"/>
        </w:rPr>
      </w:pPr>
      <w:r w:rsidRPr="0005653E">
        <w:rPr>
          <w:rFonts w:eastAsia="Calibri" w:cs="Times New Roman"/>
          <w:sz w:val="24"/>
        </w:rPr>
        <w:t>A university-wide coordinated educational component to promote entrepreneurial education for market-ready research, product innovation, business, and law</w:t>
      </w:r>
    </w:p>
    <w:p w14:paraId="7456DF23" w14:textId="77777777" w:rsidR="00BE6ADD" w:rsidRPr="0005653E" w:rsidRDefault="00BE6ADD" w:rsidP="00BE6ADD">
      <w:pPr>
        <w:numPr>
          <w:ilvl w:val="0"/>
          <w:numId w:val="1"/>
        </w:numPr>
        <w:jc w:val="left"/>
        <w:rPr>
          <w:rFonts w:eastAsia="Calibri" w:cs="Times New Roman"/>
          <w:sz w:val="24"/>
        </w:rPr>
      </w:pPr>
      <w:r w:rsidRPr="0005653E">
        <w:rPr>
          <w:rFonts w:eastAsia="Calibri" w:cs="Times New Roman"/>
          <w:sz w:val="24"/>
        </w:rPr>
        <w:t>Community outreach involving public speakers, conferences, community trainings, and similar events that promote NSU as the center of entrepreneurial education.</w:t>
      </w:r>
    </w:p>
    <w:p w14:paraId="43BB43A4" w14:textId="77777777" w:rsidR="00BE6ADD" w:rsidRPr="0005653E" w:rsidRDefault="00BE6ADD" w:rsidP="00BE6ADD">
      <w:pPr>
        <w:rPr>
          <w:rFonts w:eastAsia="Cambria" w:cs="Times New Roman"/>
          <w:sz w:val="24"/>
        </w:rPr>
      </w:pPr>
    </w:p>
    <w:p w14:paraId="54B8500E" w14:textId="7009077D" w:rsidR="00127BF2" w:rsidRPr="00127BF2" w:rsidRDefault="00BE6ADD" w:rsidP="00127BF2">
      <w:pPr>
        <w:rPr>
          <w:rFonts w:eastAsia="Cambria" w:cs="Times New Roman"/>
          <w:sz w:val="24"/>
        </w:rPr>
        <w:sectPr w:rsidR="00127BF2" w:rsidRPr="00127BF2" w:rsidSect="00305202">
          <w:type w:val="continuous"/>
          <w:pgSz w:w="12240" w:h="15840"/>
          <w:pgMar w:top="1440" w:right="1440" w:bottom="1440" w:left="1440" w:header="720" w:footer="720" w:gutter="0"/>
          <w:cols w:space="720"/>
          <w:docGrid w:linePitch="360"/>
        </w:sectPr>
      </w:pPr>
      <w:r w:rsidRPr="0005653E">
        <w:rPr>
          <w:rFonts w:eastAsia="Cambria" w:cs="Times New Roman"/>
          <w:sz w:val="24"/>
        </w:rPr>
        <w:t xml:space="preserve">In partnership with other NSU colleges, the Berger Entrepreneur Law Clinic will facilitate community outreach and engagement. Students, staff attorneys, and faculty provide public education on business formation law, </w:t>
      </w:r>
      <w:r w:rsidRPr="0005653E">
        <w:rPr>
          <w:rFonts w:eastAsia="Cambria" w:cs="Times New Roman"/>
          <w:bCs/>
          <w:sz w:val="24"/>
        </w:rPr>
        <w:t>intellectual</w:t>
      </w:r>
      <w:r w:rsidRPr="0005653E">
        <w:rPr>
          <w:rFonts w:eastAsia="Cambria" w:cs="Times New Roman"/>
          <w:sz w:val="24"/>
        </w:rPr>
        <w:t xml:space="preserve"> property law, privacy, regulatory obligations, and industry best-practices needed in the traditionally underserved communities which typically rely on non-venture funded business development.</w:t>
      </w:r>
    </w:p>
    <w:p w14:paraId="756E25A2" w14:textId="25714AF6" w:rsidR="00BE6ADD" w:rsidRDefault="00BE6ADD" w:rsidP="00BE6ADD">
      <w:pPr>
        <w:jc w:val="left"/>
        <w:rPr>
          <w:rFonts w:eastAsia="Cambria" w:cs="Times New Roman"/>
          <w:bCs/>
          <w:sz w:val="24"/>
        </w:rPr>
      </w:pPr>
    </w:p>
    <w:p w14:paraId="4F6111BE" w14:textId="3B9831BB" w:rsidR="00127BF2" w:rsidRPr="00127BF2" w:rsidRDefault="00127BF2" w:rsidP="00127BF2">
      <w:pPr>
        <w:rPr>
          <w:rFonts w:eastAsia="Cambria" w:cs="Times New Roman"/>
          <w:bCs/>
          <w:sz w:val="24"/>
        </w:rPr>
      </w:pPr>
      <w:r w:rsidRPr="00127BF2">
        <w:rPr>
          <w:rFonts w:eastAsia="Cambria" w:cs="Times New Roman"/>
          <w:bCs/>
          <w:sz w:val="24"/>
          <w:u w:val="single"/>
        </w:rPr>
        <w:t>About NSU Law’s Health Law Program</w:t>
      </w:r>
      <w:r>
        <w:rPr>
          <w:rFonts w:eastAsia="Cambria" w:cs="Times New Roman"/>
          <w:bCs/>
          <w:sz w:val="24"/>
        </w:rPr>
        <w:t xml:space="preserve">:  </w:t>
      </w:r>
      <w:r w:rsidRPr="00127BF2">
        <w:rPr>
          <w:rFonts w:eastAsia="Cambria" w:cs="Times New Roman"/>
          <w:bCs/>
          <w:sz w:val="24"/>
        </w:rPr>
        <w:t>Building on a history of innovation, NSU Law provides</w:t>
      </w:r>
    </w:p>
    <w:p w14:paraId="59F274D9" w14:textId="77777777" w:rsidR="00127BF2" w:rsidRPr="00127BF2" w:rsidRDefault="00127BF2" w:rsidP="00127BF2">
      <w:pPr>
        <w:rPr>
          <w:rFonts w:eastAsia="Cambria" w:cs="Times New Roman"/>
          <w:bCs/>
          <w:sz w:val="24"/>
        </w:rPr>
      </w:pPr>
      <w:proofErr w:type="gramStart"/>
      <w:r w:rsidRPr="00127BF2">
        <w:rPr>
          <w:rFonts w:eastAsia="Cambria" w:cs="Times New Roman"/>
          <w:bCs/>
          <w:sz w:val="24"/>
        </w:rPr>
        <w:t>health</w:t>
      </w:r>
      <w:proofErr w:type="gramEnd"/>
      <w:r w:rsidRPr="00127BF2">
        <w:rPr>
          <w:rFonts w:eastAsia="Cambria" w:cs="Times New Roman"/>
          <w:bCs/>
          <w:sz w:val="24"/>
        </w:rPr>
        <w:t xml:space="preserve"> law and health care academics with exciting opportunities for cutting-edge research and</w:t>
      </w:r>
    </w:p>
    <w:p w14:paraId="457985F8" w14:textId="7A901A2D" w:rsidR="00127BF2" w:rsidRPr="00127BF2" w:rsidRDefault="00127BF2" w:rsidP="00127BF2">
      <w:pPr>
        <w:rPr>
          <w:rFonts w:eastAsia="Cambria" w:cs="Times New Roman"/>
          <w:bCs/>
          <w:sz w:val="24"/>
        </w:rPr>
      </w:pPr>
      <w:proofErr w:type="gramStart"/>
      <w:r w:rsidRPr="00127BF2">
        <w:rPr>
          <w:rFonts w:eastAsia="Cambria" w:cs="Times New Roman"/>
          <w:bCs/>
          <w:sz w:val="24"/>
        </w:rPr>
        <w:t>scholarship</w:t>
      </w:r>
      <w:proofErr w:type="gramEnd"/>
      <w:r w:rsidRPr="00127BF2">
        <w:rPr>
          <w:rFonts w:eastAsia="Cambria" w:cs="Times New Roman"/>
          <w:bCs/>
          <w:sz w:val="24"/>
        </w:rPr>
        <w:t xml:space="preserve">. </w:t>
      </w:r>
      <w:r>
        <w:rPr>
          <w:rFonts w:eastAsia="Cambria" w:cs="Times New Roman"/>
          <w:bCs/>
          <w:sz w:val="24"/>
        </w:rPr>
        <w:t xml:space="preserve"> </w:t>
      </w:r>
      <w:r w:rsidRPr="00127BF2">
        <w:rPr>
          <w:rFonts w:eastAsia="Cambria" w:cs="Times New Roman"/>
          <w:bCs/>
          <w:sz w:val="24"/>
        </w:rPr>
        <w:t>It also provides students interested in health law with excellent opportunities for</w:t>
      </w:r>
    </w:p>
    <w:p w14:paraId="62154C77" w14:textId="171371EF" w:rsidR="00127BF2" w:rsidRPr="00127BF2" w:rsidRDefault="00127BF2" w:rsidP="00127BF2">
      <w:pPr>
        <w:rPr>
          <w:rFonts w:eastAsia="Cambria" w:cs="Times New Roman"/>
          <w:bCs/>
          <w:sz w:val="24"/>
        </w:rPr>
      </w:pPr>
      <w:proofErr w:type="spellStart"/>
      <w:proofErr w:type="gramStart"/>
      <w:r w:rsidRPr="00127BF2">
        <w:rPr>
          <w:rFonts w:eastAsia="Cambria" w:cs="Times New Roman"/>
          <w:bCs/>
          <w:sz w:val="24"/>
        </w:rPr>
        <w:t>interprofessional</w:t>
      </w:r>
      <w:proofErr w:type="spellEnd"/>
      <w:proofErr w:type="gramEnd"/>
      <w:r w:rsidRPr="00127BF2">
        <w:rPr>
          <w:rFonts w:eastAsia="Cambria" w:cs="Times New Roman"/>
          <w:bCs/>
          <w:sz w:val="24"/>
        </w:rPr>
        <w:t xml:space="preserve"> col</w:t>
      </w:r>
      <w:r>
        <w:rPr>
          <w:rFonts w:eastAsia="Cambria" w:cs="Times New Roman"/>
          <w:bCs/>
          <w:sz w:val="24"/>
        </w:rPr>
        <w:t xml:space="preserve">laboration and practical-skills </w:t>
      </w:r>
      <w:r w:rsidRPr="00127BF2">
        <w:rPr>
          <w:rFonts w:eastAsia="Cambria" w:cs="Times New Roman"/>
          <w:bCs/>
          <w:sz w:val="24"/>
        </w:rPr>
        <w:t xml:space="preserve">building. </w:t>
      </w:r>
      <w:r>
        <w:rPr>
          <w:rFonts w:eastAsia="Cambria" w:cs="Times New Roman"/>
          <w:bCs/>
          <w:sz w:val="24"/>
        </w:rPr>
        <w:t xml:space="preserve"> </w:t>
      </w:r>
      <w:r w:rsidRPr="00127BF2">
        <w:rPr>
          <w:rFonts w:eastAsia="Cambria" w:cs="Times New Roman"/>
          <w:bCs/>
          <w:sz w:val="24"/>
        </w:rPr>
        <w:t>It</w:t>
      </w:r>
      <w:r>
        <w:rPr>
          <w:rFonts w:eastAsia="Cambria" w:cs="Times New Roman"/>
          <w:bCs/>
          <w:sz w:val="24"/>
        </w:rPr>
        <w:t xml:space="preserve"> proudly</w:t>
      </w:r>
      <w:r w:rsidRPr="00127BF2">
        <w:rPr>
          <w:rFonts w:eastAsia="Cambria" w:cs="Times New Roman"/>
          <w:bCs/>
          <w:sz w:val="24"/>
        </w:rPr>
        <w:t xml:space="preserve"> offers the only health law</w:t>
      </w:r>
    </w:p>
    <w:p w14:paraId="6623551C" w14:textId="77777777" w:rsidR="00127BF2" w:rsidRPr="00127BF2" w:rsidRDefault="00127BF2" w:rsidP="00127BF2">
      <w:pPr>
        <w:rPr>
          <w:rFonts w:eastAsia="Cambria" w:cs="Times New Roman"/>
          <w:bCs/>
          <w:sz w:val="24"/>
        </w:rPr>
      </w:pPr>
      <w:proofErr w:type="gramStart"/>
      <w:r w:rsidRPr="00127BF2">
        <w:rPr>
          <w:rFonts w:eastAsia="Cambria" w:cs="Times New Roman"/>
          <w:bCs/>
          <w:sz w:val="24"/>
        </w:rPr>
        <w:t>concentration</w:t>
      </w:r>
      <w:proofErr w:type="gramEnd"/>
      <w:r w:rsidRPr="00127BF2">
        <w:rPr>
          <w:rFonts w:eastAsia="Cambria" w:cs="Times New Roman"/>
          <w:bCs/>
          <w:sz w:val="24"/>
        </w:rPr>
        <w:t xml:space="preserve"> in the state of Florida, and the health law faculty make a point of collaborating</w:t>
      </w:r>
    </w:p>
    <w:p w14:paraId="7484F1E1" w14:textId="77777777" w:rsidR="00127BF2" w:rsidRPr="00127BF2" w:rsidRDefault="00127BF2" w:rsidP="00127BF2">
      <w:pPr>
        <w:rPr>
          <w:rFonts w:eastAsia="Cambria" w:cs="Times New Roman"/>
          <w:bCs/>
          <w:sz w:val="24"/>
        </w:rPr>
      </w:pPr>
      <w:proofErr w:type="gramStart"/>
      <w:r w:rsidRPr="00127BF2">
        <w:rPr>
          <w:rFonts w:eastAsia="Cambria" w:cs="Times New Roman"/>
          <w:bCs/>
          <w:sz w:val="24"/>
        </w:rPr>
        <w:t>across</w:t>
      </w:r>
      <w:proofErr w:type="gramEnd"/>
      <w:r w:rsidRPr="00127BF2">
        <w:rPr>
          <w:rFonts w:eastAsia="Cambria" w:cs="Times New Roman"/>
          <w:bCs/>
          <w:sz w:val="24"/>
        </w:rPr>
        <w:t xml:space="preserve"> professions and encouraging students to do so.</w:t>
      </w:r>
    </w:p>
    <w:p w14:paraId="767CCE97" w14:textId="77777777" w:rsidR="00127BF2" w:rsidRDefault="00127BF2" w:rsidP="00127BF2">
      <w:pPr>
        <w:rPr>
          <w:rFonts w:eastAsia="Cambria" w:cs="Times New Roman"/>
          <w:bCs/>
          <w:sz w:val="24"/>
        </w:rPr>
      </w:pPr>
    </w:p>
    <w:p w14:paraId="2B40355B" w14:textId="211891DE" w:rsidR="00127BF2" w:rsidRPr="00127BF2" w:rsidRDefault="00127BF2" w:rsidP="00127BF2">
      <w:pPr>
        <w:rPr>
          <w:rFonts w:eastAsia="Cambria" w:cs="Times New Roman"/>
          <w:bCs/>
          <w:sz w:val="24"/>
        </w:rPr>
      </w:pPr>
      <w:r w:rsidRPr="00127BF2">
        <w:rPr>
          <w:rFonts w:eastAsia="Cambria" w:cs="Times New Roman"/>
          <w:bCs/>
          <w:sz w:val="24"/>
        </w:rPr>
        <w:t>NSU Law’s close geographic proximity to NSU’s Health Professions Division, with</w:t>
      </w:r>
    </w:p>
    <w:p w14:paraId="594BBE32" w14:textId="46A0AC18" w:rsidR="00127BF2" w:rsidRPr="00127BF2" w:rsidRDefault="00127BF2" w:rsidP="00127BF2">
      <w:pPr>
        <w:rPr>
          <w:rFonts w:eastAsia="Cambria" w:cs="Times New Roman"/>
          <w:bCs/>
          <w:sz w:val="24"/>
        </w:rPr>
      </w:pPr>
      <w:proofErr w:type="gramStart"/>
      <w:r w:rsidRPr="00127BF2">
        <w:rPr>
          <w:rFonts w:eastAsia="Cambria" w:cs="Times New Roman"/>
          <w:bCs/>
          <w:sz w:val="24"/>
        </w:rPr>
        <w:t>both</w:t>
      </w:r>
      <w:proofErr w:type="gramEnd"/>
      <w:r w:rsidRPr="00127BF2">
        <w:rPr>
          <w:rFonts w:eastAsia="Cambria" w:cs="Times New Roman"/>
          <w:bCs/>
          <w:sz w:val="24"/>
        </w:rPr>
        <w:t xml:space="preserve"> located on the same campus, fosters such interaction among both faculty and students. </w:t>
      </w:r>
      <w:r w:rsidR="00635160">
        <w:rPr>
          <w:rFonts w:eastAsia="Cambria" w:cs="Times New Roman"/>
          <w:bCs/>
          <w:sz w:val="24"/>
        </w:rPr>
        <w:t xml:space="preserve"> </w:t>
      </w:r>
      <w:r w:rsidRPr="00127BF2">
        <w:rPr>
          <w:rFonts w:eastAsia="Cambria" w:cs="Times New Roman"/>
          <w:bCs/>
          <w:sz w:val="24"/>
        </w:rPr>
        <w:t>The</w:t>
      </w:r>
    </w:p>
    <w:p w14:paraId="43331C06" w14:textId="046A9816" w:rsidR="00127BF2" w:rsidRPr="00127BF2" w:rsidRDefault="00127BF2" w:rsidP="00127BF2">
      <w:pPr>
        <w:rPr>
          <w:rFonts w:eastAsia="Cambria" w:cs="Times New Roman"/>
          <w:bCs/>
          <w:sz w:val="24"/>
        </w:rPr>
      </w:pPr>
      <w:r w:rsidRPr="00127BF2">
        <w:rPr>
          <w:rFonts w:eastAsia="Cambria" w:cs="Times New Roman"/>
          <w:bCs/>
          <w:sz w:val="24"/>
        </w:rPr>
        <w:t>University’s new, $80 million Center for Collaborative Res</w:t>
      </w:r>
      <w:r w:rsidR="00635160">
        <w:rPr>
          <w:rFonts w:eastAsia="Cambria" w:cs="Times New Roman"/>
          <w:bCs/>
          <w:sz w:val="24"/>
        </w:rPr>
        <w:t xml:space="preserve">earch will boast a Cell Therapy </w:t>
      </w:r>
      <w:r w:rsidRPr="00127BF2">
        <w:rPr>
          <w:rFonts w:eastAsia="Cambria" w:cs="Times New Roman"/>
          <w:bCs/>
          <w:sz w:val="24"/>
        </w:rPr>
        <w:t>Institute for cell-based biomedical research, NSU’s Center for Neuro-immune Medicine, one of</w:t>
      </w:r>
    </w:p>
    <w:p w14:paraId="1AC6E1E8" w14:textId="08593B25" w:rsidR="00127BF2" w:rsidRPr="00127BF2" w:rsidRDefault="00127BF2" w:rsidP="00127BF2">
      <w:pPr>
        <w:rPr>
          <w:rFonts w:eastAsia="Cambria" w:cs="Times New Roman"/>
          <w:bCs/>
          <w:sz w:val="24"/>
        </w:rPr>
      </w:pPr>
      <w:proofErr w:type="gramStart"/>
      <w:r w:rsidRPr="00127BF2">
        <w:rPr>
          <w:rFonts w:eastAsia="Cambria" w:cs="Times New Roman"/>
          <w:bCs/>
          <w:sz w:val="24"/>
        </w:rPr>
        <w:t>the</w:t>
      </w:r>
      <w:proofErr w:type="gramEnd"/>
      <w:r w:rsidRPr="00127BF2">
        <w:rPr>
          <w:rFonts w:eastAsia="Cambria" w:cs="Times New Roman"/>
          <w:bCs/>
          <w:sz w:val="24"/>
        </w:rPr>
        <w:t xml:space="preserve"> world’s largest wet labs, and the NSU Technology Incubator. </w:t>
      </w:r>
      <w:r w:rsidR="00635160">
        <w:rPr>
          <w:rFonts w:eastAsia="Cambria" w:cs="Times New Roman"/>
          <w:bCs/>
          <w:sz w:val="24"/>
        </w:rPr>
        <w:t xml:space="preserve"> </w:t>
      </w:r>
      <w:r w:rsidRPr="00127BF2">
        <w:rPr>
          <w:rFonts w:eastAsia="Cambria" w:cs="Times New Roman"/>
          <w:bCs/>
          <w:sz w:val="24"/>
        </w:rPr>
        <w:t>Along with such activities will</w:t>
      </w:r>
    </w:p>
    <w:p w14:paraId="41DCB68F" w14:textId="6F73E30F" w:rsidR="00127BF2" w:rsidRPr="00127BF2" w:rsidRDefault="00127BF2" w:rsidP="00127BF2">
      <w:pPr>
        <w:rPr>
          <w:rFonts w:eastAsia="Cambria" w:cs="Times New Roman"/>
          <w:bCs/>
          <w:sz w:val="24"/>
        </w:rPr>
      </w:pPr>
      <w:proofErr w:type="gramStart"/>
      <w:r w:rsidRPr="00127BF2">
        <w:rPr>
          <w:rFonts w:eastAsia="Cambria" w:cs="Times New Roman"/>
          <w:bCs/>
          <w:sz w:val="24"/>
        </w:rPr>
        <w:t>come</w:t>
      </w:r>
      <w:proofErr w:type="gramEnd"/>
      <w:r w:rsidRPr="00127BF2">
        <w:rPr>
          <w:rFonts w:eastAsia="Cambria" w:cs="Times New Roman"/>
          <w:bCs/>
          <w:sz w:val="24"/>
        </w:rPr>
        <w:t xml:space="preserve"> a need for legal study of and legal representation abo</w:t>
      </w:r>
      <w:r w:rsidR="00635160">
        <w:rPr>
          <w:rFonts w:eastAsia="Cambria" w:cs="Times New Roman"/>
          <w:bCs/>
          <w:sz w:val="24"/>
        </w:rPr>
        <w:t xml:space="preserve">ut matters as diverse as health </w:t>
      </w:r>
      <w:r w:rsidRPr="00127BF2">
        <w:rPr>
          <w:rFonts w:eastAsia="Cambria" w:cs="Times New Roman"/>
          <w:bCs/>
          <w:sz w:val="24"/>
        </w:rPr>
        <w:t>care</w:t>
      </w:r>
      <w:r w:rsidR="00635160">
        <w:rPr>
          <w:rFonts w:eastAsia="Cambria" w:cs="Times New Roman"/>
          <w:bCs/>
          <w:sz w:val="24"/>
        </w:rPr>
        <w:t xml:space="preserve"> </w:t>
      </w:r>
      <w:r w:rsidRPr="00127BF2">
        <w:rPr>
          <w:rFonts w:eastAsia="Cambria" w:cs="Times New Roman"/>
          <w:bCs/>
          <w:sz w:val="24"/>
        </w:rPr>
        <w:t>related</w:t>
      </w:r>
      <w:r w:rsidR="00635160">
        <w:rPr>
          <w:rFonts w:eastAsia="Cambria" w:cs="Times New Roman"/>
          <w:bCs/>
          <w:sz w:val="24"/>
        </w:rPr>
        <w:t xml:space="preserve"> </w:t>
      </w:r>
      <w:r w:rsidRPr="00127BF2">
        <w:rPr>
          <w:rFonts w:eastAsia="Cambria" w:cs="Times New Roman"/>
          <w:bCs/>
          <w:sz w:val="24"/>
        </w:rPr>
        <w:t xml:space="preserve">intellectual property law and clinical research regulations. </w:t>
      </w:r>
      <w:r w:rsidR="00635160">
        <w:rPr>
          <w:rFonts w:eastAsia="Cambria" w:cs="Times New Roman"/>
          <w:bCs/>
          <w:sz w:val="24"/>
        </w:rPr>
        <w:t xml:space="preserve"> </w:t>
      </w:r>
      <w:r w:rsidRPr="00127BF2">
        <w:rPr>
          <w:rFonts w:eastAsia="Cambria" w:cs="Times New Roman"/>
          <w:bCs/>
          <w:sz w:val="24"/>
        </w:rPr>
        <w:t>All present potential</w:t>
      </w:r>
    </w:p>
    <w:p w14:paraId="4B547453" w14:textId="77777777" w:rsidR="00127BF2" w:rsidRPr="00127BF2" w:rsidRDefault="00127BF2" w:rsidP="00127BF2">
      <w:pPr>
        <w:rPr>
          <w:rFonts w:eastAsia="Cambria" w:cs="Times New Roman"/>
          <w:bCs/>
          <w:sz w:val="24"/>
        </w:rPr>
      </w:pPr>
      <w:proofErr w:type="gramStart"/>
      <w:r w:rsidRPr="00127BF2">
        <w:rPr>
          <w:rFonts w:eastAsia="Cambria" w:cs="Times New Roman"/>
          <w:bCs/>
          <w:sz w:val="24"/>
        </w:rPr>
        <w:t>opportunities</w:t>
      </w:r>
      <w:proofErr w:type="gramEnd"/>
      <w:r w:rsidRPr="00127BF2">
        <w:rPr>
          <w:rFonts w:eastAsia="Cambria" w:cs="Times New Roman"/>
          <w:bCs/>
          <w:sz w:val="24"/>
        </w:rPr>
        <w:t xml:space="preserve"> for academic scholarship, experiential workshops for practitioners, and law student</w:t>
      </w:r>
    </w:p>
    <w:p w14:paraId="01FF6EF8" w14:textId="4BDAAD6F" w:rsidR="00127BF2" w:rsidRPr="00127BF2" w:rsidRDefault="00127BF2" w:rsidP="00127BF2">
      <w:pPr>
        <w:rPr>
          <w:rFonts w:eastAsia="Cambria" w:cs="Times New Roman"/>
          <w:bCs/>
          <w:sz w:val="24"/>
        </w:rPr>
      </w:pPr>
      <w:proofErr w:type="gramStart"/>
      <w:r w:rsidRPr="00127BF2">
        <w:rPr>
          <w:rFonts w:eastAsia="Cambria" w:cs="Times New Roman"/>
          <w:bCs/>
          <w:sz w:val="24"/>
        </w:rPr>
        <w:t>field</w:t>
      </w:r>
      <w:proofErr w:type="gramEnd"/>
      <w:r w:rsidRPr="00127BF2">
        <w:rPr>
          <w:rFonts w:eastAsia="Cambria" w:cs="Times New Roman"/>
          <w:bCs/>
          <w:sz w:val="24"/>
        </w:rPr>
        <w:t xml:space="preserve"> placements. </w:t>
      </w:r>
      <w:r w:rsidR="00635160">
        <w:rPr>
          <w:rFonts w:eastAsia="Cambria" w:cs="Times New Roman"/>
          <w:bCs/>
          <w:sz w:val="24"/>
        </w:rPr>
        <w:t xml:space="preserve"> </w:t>
      </w:r>
      <w:r w:rsidRPr="00127BF2">
        <w:rPr>
          <w:rFonts w:eastAsia="Cambria" w:cs="Times New Roman"/>
          <w:bCs/>
          <w:sz w:val="24"/>
        </w:rPr>
        <w:t>South Florida, comprised of Miami-Dade, Broward, and Palm Beach Counties,</w:t>
      </w:r>
    </w:p>
    <w:p w14:paraId="3F50D944" w14:textId="77777777" w:rsidR="00127BF2" w:rsidRPr="00127BF2" w:rsidRDefault="00127BF2" w:rsidP="00127BF2">
      <w:pPr>
        <w:rPr>
          <w:rFonts w:eastAsia="Cambria" w:cs="Times New Roman"/>
          <w:bCs/>
          <w:sz w:val="24"/>
        </w:rPr>
      </w:pPr>
      <w:proofErr w:type="gramStart"/>
      <w:r w:rsidRPr="00127BF2">
        <w:rPr>
          <w:rFonts w:eastAsia="Cambria" w:cs="Times New Roman"/>
          <w:bCs/>
          <w:sz w:val="24"/>
        </w:rPr>
        <w:lastRenderedPageBreak/>
        <w:t>has</w:t>
      </w:r>
      <w:proofErr w:type="gramEnd"/>
      <w:r w:rsidRPr="00127BF2">
        <w:rPr>
          <w:rFonts w:eastAsia="Cambria" w:cs="Times New Roman"/>
          <w:bCs/>
          <w:sz w:val="24"/>
        </w:rPr>
        <w:t xml:space="preserve"> 48 hospitals and numerous other health care businesses, and has been called a “`mini-Silicon</w:t>
      </w:r>
    </w:p>
    <w:p w14:paraId="06557F49" w14:textId="1F3C6640" w:rsidR="00127BF2" w:rsidRDefault="00127BF2" w:rsidP="00127BF2">
      <w:pPr>
        <w:rPr>
          <w:rFonts w:eastAsia="Cambria" w:cs="Times New Roman"/>
          <w:bCs/>
          <w:sz w:val="24"/>
        </w:rPr>
      </w:pPr>
      <w:r w:rsidRPr="00127BF2">
        <w:rPr>
          <w:rFonts w:eastAsia="Cambria" w:cs="Times New Roman"/>
          <w:bCs/>
          <w:sz w:val="24"/>
        </w:rPr>
        <w:t>Valley’ for health care innovation.</w:t>
      </w:r>
    </w:p>
    <w:p w14:paraId="6B2B6071" w14:textId="77777777" w:rsidR="00635160" w:rsidRPr="0005653E" w:rsidRDefault="00635160" w:rsidP="00127BF2">
      <w:pPr>
        <w:rPr>
          <w:rFonts w:eastAsia="Cambria" w:cs="Times New Roman"/>
          <w:bCs/>
          <w:sz w:val="24"/>
        </w:rPr>
      </w:pPr>
    </w:p>
    <w:p w14:paraId="1DA6BD73" w14:textId="4C654590" w:rsidR="00BE6ADD" w:rsidRPr="0005653E" w:rsidRDefault="00BE6ADD" w:rsidP="00BE6ADD">
      <w:pPr>
        <w:jc w:val="left"/>
        <w:rPr>
          <w:rFonts w:eastAsia="Cambria" w:cs="Times New Roman"/>
          <w:sz w:val="24"/>
        </w:rPr>
      </w:pPr>
      <w:r w:rsidRPr="0005653E">
        <w:rPr>
          <w:rFonts w:eastAsia="Cambria" w:cs="Times New Roman"/>
          <w:sz w:val="24"/>
          <w:u w:val="single"/>
        </w:rPr>
        <w:t>For More Information Please Contact</w:t>
      </w:r>
      <w:r w:rsidRPr="0005653E">
        <w:rPr>
          <w:rFonts w:eastAsia="Cambria" w:cs="Times New Roman"/>
          <w:sz w:val="24"/>
        </w:rPr>
        <w:t xml:space="preserve">: </w:t>
      </w:r>
      <w:hyperlink r:id="rId6" w:history="1">
        <w:r w:rsidR="00127BF2" w:rsidRPr="007E0DBB">
          <w:rPr>
            <w:rStyle w:val="Hyperlink"/>
            <w:rFonts w:eastAsia="Cambria" w:cs="Times New Roman"/>
            <w:sz w:val="24"/>
          </w:rPr>
          <w:t>lawreview@nova.edu</w:t>
        </w:r>
      </w:hyperlink>
      <w:r w:rsidR="00127BF2">
        <w:rPr>
          <w:rFonts w:eastAsia="Cambria" w:cs="Times New Roman"/>
          <w:sz w:val="24"/>
        </w:rPr>
        <w:t xml:space="preserve">, </w:t>
      </w:r>
      <w:r w:rsidRPr="0005653E">
        <w:rPr>
          <w:rFonts w:eastAsia="Cambria" w:cs="Times New Roman"/>
          <w:sz w:val="24"/>
        </w:rPr>
        <w:t>(954) 262-6295 or the individuals below:</w:t>
      </w:r>
    </w:p>
    <w:p w14:paraId="20BEB986" w14:textId="77777777" w:rsidR="00BE6ADD" w:rsidRDefault="00BE6ADD" w:rsidP="00BE6ADD">
      <w:pPr>
        <w:jc w:val="left"/>
        <w:rPr>
          <w:rFonts w:eastAsia="Cambria" w:cs="Times New Roman"/>
          <w:bCs/>
          <w:sz w:val="24"/>
        </w:rPr>
        <w:sectPr w:rsidR="00BE6ADD" w:rsidSect="00305202">
          <w:type w:val="continuous"/>
          <w:pgSz w:w="12240" w:h="15840"/>
          <w:pgMar w:top="1440" w:right="1440" w:bottom="1440" w:left="1440" w:header="720" w:footer="720" w:gutter="0"/>
          <w:cols w:space="720"/>
          <w:docGrid w:linePitch="360"/>
        </w:sectPr>
      </w:pPr>
    </w:p>
    <w:p w14:paraId="4FE00DDD" w14:textId="28F957B8" w:rsidR="00BE6ADD" w:rsidRDefault="00BE6ADD" w:rsidP="00BE6ADD">
      <w:pPr>
        <w:jc w:val="left"/>
        <w:rPr>
          <w:rFonts w:eastAsia="Cambria" w:cs="Times New Roman"/>
          <w:bCs/>
          <w:sz w:val="24"/>
        </w:rPr>
      </w:pPr>
    </w:p>
    <w:p w14:paraId="00A707C3" w14:textId="610FCA16" w:rsidR="00C420D8" w:rsidRPr="0005653E" w:rsidRDefault="00C420D8" w:rsidP="00C420D8">
      <w:pPr>
        <w:rPr>
          <w:rFonts w:eastAsia="Cambria" w:cs="Times New Roman"/>
          <w:bCs/>
          <w:sz w:val="24"/>
        </w:rPr>
      </w:pPr>
      <w:r>
        <w:rPr>
          <w:rFonts w:eastAsia="Cambria" w:cs="Times New Roman"/>
          <w:bCs/>
          <w:sz w:val="24"/>
        </w:rPr>
        <w:t xml:space="preserve">Professor Kathy Cerminara, </w:t>
      </w:r>
      <w:hyperlink r:id="rId7" w:history="1">
        <w:r w:rsidR="00127BF2" w:rsidRPr="007E0DBB">
          <w:rPr>
            <w:rStyle w:val="Hyperlink"/>
            <w:rFonts w:eastAsia="Cambria" w:cs="Times New Roman"/>
            <w:bCs/>
            <w:sz w:val="24"/>
          </w:rPr>
          <w:t>cerminar@nova.edu</w:t>
        </w:r>
      </w:hyperlink>
      <w:r>
        <w:rPr>
          <w:rFonts w:eastAsia="Cambria" w:cs="Times New Roman"/>
          <w:bCs/>
          <w:sz w:val="24"/>
        </w:rPr>
        <w:t xml:space="preserve">, </w:t>
      </w:r>
      <w:r w:rsidR="004438F4">
        <w:rPr>
          <w:rFonts w:eastAsia="Cambria" w:cs="Times New Roman"/>
          <w:bCs/>
          <w:sz w:val="24"/>
        </w:rPr>
        <w:t xml:space="preserve">(954) </w:t>
      </w:r>
      <w:r>
        <w:rPr>
          <w:rFonts w:eastAsia="Cambria" w:cs="Times New Roman"/>
          <w:bCs/>
          <w:sz w:val="24"/>
        </w:rPr>
        <w:t>262-6193</w:t>
      </w:r>
    </w:p>
    <w:p w14:paraId="4FD6DE1E" w14:textId="6C15E031" w:rsidR="00C420D8" w:rsidRDefault="00C420D8" w:rsidP="00C420D8">
      <w:pPr>
        <w:rPr>
          <w:rFonts w:eastAsia="Times New Roman" w:cs="Times New Roman"/>
          <w:sz w:val="24"/>
        </w:rPr>
      </w:pPr>
      <w:r>
        <w:rPr>
          <w:rFonts w:eastAsia="Times New Roman" w:cs="Times New Roman"/>
          <w:sz w:val="24"/>
        </w:rPr>
        <w:t xml:space="preserve">Professor Marilyn Uzdavines, </w:t>
      </w:r>
      <w:hyperlink r:id="rId8" w:history="1">
        <w:r w:rsidRPr="007E0DBB">
          <w:rPr>
            <w:rStyle w:val="Hyperlink"/>
            <w:rFonts w:eastAsia="Times New Roman" w:cs="Times New Roman"/>
            <w:sz w:val="24"/>
          </w:rPr>
          <w:t>muzdavines@nova.edu</w:t>
        </w:r>
      </w:hyperlink>
      <w:r>
        <w:rPr>
          <w:rFonts w:eastAsia="Times New Roman" w:cs="Times New Roman"/>
          <w:sz w:val="24"/>
        </w:rPr>
        <w:t xml:space="preserve">, </w:t>
      </w:r>
      <w:r w:rsidR="004438F4">
        <w:rPr>
          <w:rFonts w:eastAsia="Times New Roman" w:cs="Times New Roman"/>
          <w:sz w:val="24"/>
        </w:rPr>
        <w:t xml:space="preserve">(954) </w:t>
      </w:r>
      <w:r>
        <w:rPr>
          <w:rFonts w:eastAsia="Times New Roman" w:cs="Times New Roman"/>
          <w:sz w:val="24"/>
        </w:rPr>
        <w:t>262-6265</w:t>
      </w:r>
    </w:p>
    <w:p w14:paraId="77B6A991" w14:textId="1E46A5DF" w:rsidR="004438F4" w:rsidRDefault="004438F4" w:rsidP="00C420D8">
      <w:pPr>
        <w:rPr>
          <w:rFonts w:eastAsia="Times New Roman" w:cs="Times New Roman"/>
          <w:sz w:val="24"/>
        </w:rPr>
      </w:pPr>
      <w:r>
        <w:rPr>
          <w:rFonts w:eastAsia="Times New Roman" w:cs="Times New Roman"/>
          <w:sz w:val="24"/>
        </w:rPr>
        <w:t xml:space="preserve">Associate Dean </w:t>
      </w:r>
      <w:proofErr w:type="spellStart"/>
      <w:r w:rsidRPr="004438F4">
        <w:rPr>
          <w:rFonts w:eastAsia="Times New Roman" w:cs="Times New Roman"/>
          <w:sz w:val="24"/>
        </w:rPr>
        <w:t>Vicenç</w:t>
      </w:r>
      <w:proofErr w:type="spellEnd"/>
      <w:r w:rsidRPr="004438F4">
        <w:rPr>
          <w:rFonts w:eastAsia="Times New Roman" w:cs="Times New Roman"/>
          <w:sz w:val="24"/>
        </w:rPr>
        <w:t xml:space="preserve"> F. </w:t>
      </w:r>
      <w:proofErr w:type="spellStart"/>
      <w:r w:rsidRPr="004438F4">
        <w:rPr>
          <w:rFonts w:eastAsia="Times New Roman" w:cs="Times New Roman"/>
          <w:sz w:val="24"/>
        </w:rPr>
        <w:t>Feliú</w:t>
      </w:r>
      <w:proofErr w:type="spellEnd"/>
      <w:r>
        <w:rPr>
          <w:rFonts w:eastAsia="Times New Roman" w:cs="Times New Roman"/>
          <w:sz w:val="24"/>
        </w:rPr>
        <w:t xml:space="preserve">, </w:t>
      </w:r>
      <w:hyperlink r:id="rId9" w:history="1">
        <w:r w:rsidRPr="007E0DBB">
          <w:rPr>
            <w:rStyle w:val="Hyperlink"/>
            <w:rFonts w:eastAsia="Times New Roman" w:cs="Times New Roman"/>
            <w:sz w:val="24"/>
          </w:rPr>
          <w:t>vfeliu@nova.edu</w:t>
        </w:r>
      </w:hyperlink>
    </w:p>
    <w:p w14:paraId="5D8D312B" w14:textId="17562F69" w:rsidR="00C420D8" w:rsidRDefault="00C420D8" w:rsidP="00C420D8">
      <w:pPr>
        <w:rPr>
          <w:rFonts w:eastAsia="Times New Roman" w:cs="Times New Roman"/>
          <w:sz w:val="24"/>
        </w:rPr>
      </w:pPr>
      <w:r>
        <w:rPr>
          <w:rFonts w:eastAsia="Times New Roman" w:cs="Times New Roman"/>
          <w:sz w:val="24"/>
        </w:rPr>
        <w:t xml:space="preserve">Dean Jon M. Garon, </w:t>
      </w:r>
      <w:hyperlink r:id="rId10" w:history="1">
        <w:r w:rsidRPr="007E0DBB">
          <w:rPr>
            <w:rStyle w:val="Hyperlink"/>
            <w:rFonts w:eastAsia="Times New Roman" w:cs="Times New Roman"/>
            <w:sz w:val="24"/>
          </w:rPr>
          <w:t>garon@nova.edu</w:t>
        </w:r>
      </w:hyperlink>
      <w:r>
        <w:rPr>
          <w:rFonts w:eastAsia="Times New Roman" w:cs="Times New Roman"/>
          <w:sz w:val="24"/>
        </w:rPr>
        <w:t xml:space="preserve">, </w:t>
      </w:r>
      <w:r w:rsidR="004438F4">
        <w:rPr>
          <w:rFonts w:eastAsia="Times New Roman" w:cs="Times New Roman"/>
          <w:sz w:val="24"/>
        </w:rPr>
        <w:t>(</w:t>
      </w:r>
      <w:r>
        <w:rPr>
          <w:rFonts w:eastAsia="Times New Roman" w:cs="Times New Roman"/>
          <w:sz w:val="24"/>
        </w:rPr>
        <w:t>954</w:t>
      </w:r>
      <w:r w:rsidR="004438F4">
        <w:rPr>
          <w:rFonts w:eastAsia="Times New Roman" w:cs="Times New Roman"/>
          <w:sz w:val="24"/>
        </w:rPr>
        <w:t xml:space="preserve">) </w:t>
      </w:r>
      <w:r>
        <w:rPr>
          <w:rFonts w:eastAsia="Times New Roman" w:cs="Times New Roman"/>
          <w:sz w:val="24"/>
        </w:rPr>
        <w:t>262-6229</w:t>
      </w:r>
    </w:p>
    <w:p w14:paraId="49F61840" w14:textId="606588FD" w:rsidR="004438F4" w:rsidRDefault="004438F4" w:rsidP="004438F4">
      <w:pPr>
        <w:jc w:val="left"/>
        <w:rPr>
          <w:rFonts w:eastAsia="Times New Roman" w:cs="Times New Roman"/>
          <w:sz w:val="24"/>
        </w:rPr>
      </w:pPr>
      <w:r>
        <w:rPr>
          <w:rFonts w:eastAsia="Times New Roman" w:cs="Times New Roman"/>
          <w:sz w:val="24"/>
        </w:rPr>
        <w:t>Bryan Siddique,</w:t>
      </w:r>
      <w:r w:rsidR="00BE6ADD" w:rsidRPr="0005653E">
        <w:rPr>
          <w:rFonts w:eastAsia="Times New Roman" w:cs="Times New Roman"/>
          <w:sz w:val="24"/>
        </w:rPr>
        <w:t xml:space="preserve"> Editor-in-Chief, </w:t>
      </w:r>
      <w:r w:rsidR="00BE6ADD" w:rsidRPr="0005653E">
        <w:rPr>
          <w:rFonts w:eastAsia="Times New Roman" w:cs="Times New Roman"/>
          <w:i/>
          <w:iCs/>
          <w:sz w:val="24"/>
        </w:rPr>
        <w:t>Nova Law Review</w:t>
      </w:r>
      <w:proofErr w:type="gramStart"/>
      <w:r w:rsidR="00BE6ADD" w:rsidRPr="0005653E">
        <w:rPr>
          <w:rFonts w:eastAsia="Times New Roman" w:cs="Times New Roman"/>
          <w:sz w:val="24"/>
        </w:rPr>
        <w:t xml:space="preserve">, </w:t>
      </w:r>
      <w:r>
        <w:rPr>
          <w:rFonts w:ascii="Cambria" w:eastAsia="Cambria" w:hAnsi="Cambria" w:cs="Times New Roman"/>
          <w:sz w:val="24"/>
        </w:rPr>
        <w:t xml:space="preserve"> </w:t>
      </w:r>
      <w:proofErr w:type="gramEnd"/>
      <w:hyperlink r:id="rId11" w:history="1">
        <w:r w:rsidRPr="007E0DBB">
          <w:rPr>
            <w:rStyle w:val="Hyperlink"/>
            <w:rFonts w:eastAsia="Times New Roman" w:cs="Times New Roman"/>
            <w:sz w:val="24"/>
          </w:rPr>
          <w:t>bs1080@mynsu.nova.edu</w:t>
        </w:r>
      </w:hyperlink>
    </w:p>
    <w:p w14:paraId="74BE0AE5" w14:textId="32453471" w:rsidR="004438F4" w:rsidRDefault="004438F4" w:rsidP="004438F4">
      <w:pPr>
        <w:jc w:val="left"/>
        <w:rPr>
          <w:rFonts w:eastAsia="Times New Roman" w:cs="Times New Roman"/>
          <w:sz w:val="24"/>
        </w:rPr>
      </w:pPr>
      <w:r>
        <w:rPr>
          <w:rFonts w:eastAsia="Times New Roman" w:cs="Times New Roman"/>
          <w:sz w:val="24"/>
        </w:rPr>
        <w:t xml:space="preserve">Thomas Sternberg, Goodwin Alumni Editor, </w:t>
      </w:r>
      <w:r>
        <w:rPr>
          <w:rFonts w:eastAsia="Times New Roman" w:cs="Times New Roman"/>
          <w:i/>
          <w:sz w:val="24"/>
        </w:rPr>
        <w:t>Nova Law Review</w:t>
      </w:r>
      <w:r>
        <w:rPr>
          <w:rFonts w:eastAsia="Times New Roman" w:cs="Times New Roman"/>
          <w:sz w:val="24"/>
        </w:rPr>
        <w:t xml:space="preserve">, </w:t>
      </w:r>
      <w:hyperlink r:id="rId12" w:history="1">
        <w:r w:rsidRPr="007E0DBB">
          <w:rPr>
            <w:rStyle w:val="Hyperlink"/>
            <w:rFonts w:eastAsia="Times New Roman" w:cs="Times New Roman"/>
            <w:sz w:val="24"/>
          </w:rPr>
          <w:t>ts1595@mynsu.nova.edu</w:t>
        </w:r>
      </w:hyperlink>
    </w:p>
    <w:p w14:paraId="7DD2AF14" w14:textId="5848DD40" w:rsidR="004438F4" w:rsidRPr="004438F4" w:rsidRDefault="004438F4" w:rsidP="004438F4">
      <w:pPr>
        <w:jc w:val="left"/>
        <w:rPr>
          <w:rFonts w:eastAsia="Times New Roman" w:cs="Times New Roman"/>
          <w:sz w:val="24"/>
        </w:rPr>
        <w:sectPr w:rsidR="004438F4" w:rsidRPr="004438F4" w:rsidSect="00305202">
          <w:type w:val="continuous"/>
          <w:pgSz w:w="12240" w:h="15840"/>
          <w:pgMar w:top="1440" w:right="1440" w:bottom="1440" w:left="1440" w:header="720" w:footer="720" w:gutter="0"/>
          <w:cols w:space="720"/>
          <w:docGrid w:linePitch="360"/>
        </w:sectPr>
      </w:pPr>
    </w:p>
    <w:p w14:paraId="4AC64A99" w14:textId="25952E41" w:rsidR="00BE6ADD" w:rsidRPr="00B75663" w:rsidRDefault="00BE6ADD" w:rsidP="00BE6ADD">
      <w:pPr>
        <w:jc w:val="left"/>
        <w:rPr>
          <w:rFonts w:ascii="Cambria" w:eastAsia="Times New Roman" w:hAnsi="Cambria" w:cs="Times New Roman"/>
          <w:color w:val="0563C1"/>
          <w:sz w:val="24"/>
          <w:u w:val="single"/>
        </w:rPr>
      </w:pPr>
      <w:r>
        <w:rPr>
          <w:rFonts w:eastAsia="Times New Roman" w:cs="Times New Roman"/>
          <w:sz w:val="24"/>
        </w:rPr>
        <w:t>Karen Rose</w:t>
      </w:r>
      <w:r w:rsidRPr="0005653E">
        <w:rPr>
          <w:rFonts w:eastAsia="Times New Roman" w:cs="Times New Roman"/>
          <w:sz w:val="24"/>
        </w:rPr>
        <w:t xml:space="preserve">, Director of Alumni Relations, </w:t>
      </w:r>
      <w:hyperlink r:id="rId13" w:history="1">
        <w:r w:rsidR="004438F4" w:rsidRPr="007E0DBB">
          <w:rPr>
            <w:rStyle w:val="Hyperlink"/>
            <w:rFonts w:eastAsia="Times New Roman" w:cs="Times New Roman"/>
            <w:sz w:val="24"/>
          </w:rPr>
          <w:t>kr550@nova.edu</w:t>
        </w:r>
      </w:hyperlink>
      <w:r w:rsidR="004438F4">
        <w:rPr>
          <w:rFonts w:eastAsia="Times New Roman" w:cs="Times New Roman"/>
          <w:sz w:val="24"/>
        </w:rPr>
        <w:t xml:space="preserve">, </w:t>
      </w:r>
      <w:r w:rsidRPr="0005653E">
        <w:rPr>
          <w:rFonts w:eastAsia="Times New Roman" w:cs="Times New Roman"/>
          <w:sz w:val="24"/>
        </w:rPr>
        <w:t>(954)</w:t>
      </w:r>
      <w:r>
        <w:rPr>
          <w:rFonts w:eastAsia="Times New Roman" w:cs="Times New Roman"/>
          <w:sz w:val="24"/>
        </w:rPr>
        <w:t xml:space="preserve"> </w:t>
      </w:r>
      <w:r w:rsidRPr="007C6E17">
        <w:rPr>
          <w:rFonts w:eastAsia="Times New Roman" w:cs="Times New Roman"/>
          <w:sz w:val="24"/>
        </w:rPr>
        <w:t>262</w:t>
      </w:r>
      <w:r>
        <w:rPr>
          <w:rFonts w:eastAsia="Times New Roman" w:cs="Times New Roman"/>
          <w:sz w:val="24"/>
        </w:rPr>
        <w:t>-</w:t>
      </w:r>
      <w:r w:rsidRPr="007C6E17">
        <w:rPr>
          <w:rFonts w:eastAsia="Times New Roman" w:cs="Times New Roman"/>
          <w:sz w:val="24"/>
        </w:rPr>
        <w:t>6189</w:t>
      </w:r>
    </w:p>
    <w:p w14:paraId="3428AFA4" w14:textId="77777777" w:rsidR="00AA71CD" w:rsidRDefault="00BE2F98"/>
    <w:sectPr w:rsidR="00AA71CD" w:rsidSect="003052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66AD7"/>
    <w:multiLevelType w:val="hybridMultilevel"/>
    <w:tmpl w:val="02CCCA22"/>
    <w:lvl w:ilvl="0" w:tplc="0526D5DC">
      <w:start w:val="1"/>
      <w:numFmt w:val="bullet"/>
      <w:lvlText w:val=""/>
      <w:lvlJc w:val="left"/>
      <w:pPr>
        <w:ind w:left="1632" w:hanging="144"/>
      </w:pPr>
      <w:rPr>
        <w:rFonts w:ascii="Symbol" w:hAnsi="Symbol" w:hint="default"/>
      </w:rPr>
    </w:lvl>
    <w:lvl w:ilvl="1" w:tplc="04090003">
      <w:start w:val="1"/>
      <w:numFmt w:val="bullet"/>
      <w:lvlText w:val="o"/>
      <w:lvlJc w:val="left"/>
      <w:pPr>
        <w:ind w:left="2136" w:hanging="360"/>
      </w:pPr>
      <w:rPr>
        <w:rFonts w:ascii="Courier New" w:hAnsi="Courier New" w:cs="Times New Roman" w:hint="default"/>
      </w:rPr>
    </w:lvl>
    <w:lvl w:ilvl="2" w:tplc="04090005">
      <w:start w:val="1"/>
      <w:numFmt w:val="bullet"/>
      <w:lvlText w:val=""/>
      <w:lvlJc w:val="left"/>
      <w:pPr>
        <w:ind w:left="2856" w:hanging="360"/>
      </w:pPr>
      <w:rPr>
        <w:rFonts w:ascii="Wingdings" w:hAnsi="Wingdings" w:hint="default"/>
      </w:rPr>
    </w:lvl>
    <w:lvl w:ilvl="3" w:tplc="04090001">
      <w:start w:val="1"/>
      <w:numFmt w:val="bullet"/>
      <w:lvlText w:val=""/>
      <w:lvlJc w:val="left"/>
      <w:pPr>
        <w:ind w:left="3576" w:hanging="360"/>
      </w:pPr>
      <w:rPr>
        <w:rFonts w:ascii="Symbol" w:hAnsi="Symbol" w:hint="default"/>
      </w:rPr>
    </w:lvl>
    <w:lvl w:ilvl="4" w:tplc="04090003">
      <w:start w:val="1"/>
      <w:numFmt w:val="bullet"/>
      <w:lvlText w:val="o"/>
      <w:lvlJc w:val="left"/>
      <w:pPr>
        <w:ind w:left="4296" w:hanging="360"/>
      </w:pPr>
      <w:rPr>
        <w:rFonts w:ascii="Courier New" w:hAnsi="Courier New" w:cs="Times New Roman" w:hint="default"/>
      </w:rPr>
    </w:lvl>
    <w:lvl w:ilvl="5" w:tplc="04090005">
      <w:start w:val="1"/>
      <w:numFmt w:val="bullet"/>
      <w:lvlText w:val=""/>
      <w:lvlJc w:val="left"/>
      <w:pPr>
        <w:ind w:left="5016" w:hanging="360"/>
      </w:pPr>
      <w:rPr>
        <w:rFonts w:ascii="Wingdings" w:hAnsi="Wingdings" w:hint="default"/>
      </w:rPr>
    </w:lvl>
    <w:lvl w:ilvl="6" w:tplc="04090001">
      <w:start w:val="1"/>
      <w:numFmt w:val="bullet"/>
      <w:lvlText w:val=""/>
      <w:lvlJc w:val="left"/>
      <w:pPr>
        <w:ind w:left="5736" w:hanging="360"/>
      </w:pPr>
      <w:rPr>
        <w:rFonts w:ascii="Symbol" w:hAnsi="Symbol" w:hint="default"/>
      </w:rPr>
    </w:lvl>
    <w:lvl w:ilvl="7" w:tplc="04090003">
      <w:start w:val="1"/>
      <w:numFmt w:val="bullet"/>
      <w:lvlText w:val="o"/>
      <w:lvlJc w:val="left"/>
      <w:pPr>
        <w:ind w:left="6456" w:hanging="360"/>
      </w:pPr>
      <w:rPr>
        <w:rFonts w:ascii="Courier New" w:hAnsi="Courier New" w:cs="Times New Roman" w:hint="default"/>
      </w:rPr>
    </w:lvl>
    <w:lvl w:ilvl="8" w:tplc="04090005">
      <w:start w:val="1"/>
      <w:numFmt w:val="bullet"/>
      <w:lvlText w:val=""/>
      <w:lvlJc w:val="left"/>
      <w:pPr>
        <w:ind w:left="7176" w:hanging="360"/>
      </w:pPr>
      <w:rPr>
        <w:rFonts w:ascii="Wingdings" w:hAnsi="Wingdings" w:hint="default"/>
      </w:rPr>
    </w:lvl>
  </w:abstractNum>
  <w:abstractNum w:abstractNumId="1" w15:restartNumberingAfterBreak="0">
    <w:nsid w:val="55ED3F92"/>
    <w:multiLevelType w:val="hybridMultilevel"/>
    <w:tmpl w:val="208CF878"/>
    <w:lvl w:ilvl="0" w:tplc="04090001">
      <w:start w:val="1"/>
      <w:numFmt w:val="bullet"/>
      <w:lvlText w:val=""/>
      <w:lvlJc w:val="left"/>
      <w:pPr>
        <w:ind w:left="360" w:hanging="360"/>
      </w:pPr>
      <w:rPr>
        <w:rFonts w:ascii="Symbol" w:hAnsi="Symbol" w:hint="default"/>
      </w:rPr>
    </w:lvl>
    <w:lvl w:ilvl="1" w:tplc="0526D5DC">
      <w:start w:val="1"/>
      <w:numFmt w:val="bullet"/>
      <w:lvlText w:val=""/>
      <w:lvlJc w:val="left"/>
      <w:pPr>
        <w:ind w:left="864" w:hanging="144"/>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9A56B28"/>
    <w:multiLevelType w:val="hybridMultilevel"/>
    <w:tmpl w:val="7A381D3E"/>
    <w:lvl w:ilvl="0" w:tplc="E36646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DD"/>
    <w:rsid w:val="00127BF2"/>
    <w:rsid w:val="00270AEA"/>
    <w:rsid w:val="003F2AC4"/>
    <w:rsid w:val="004438F4"/>
    <w:rsid w:val="00523E9C"/>
    <w:rsid w:val="00635160"/>
    <w:rsid w:val="00660CBE"/>
    <w:rsid w:val="00900823"/>
    <w:rsid w:val="00962484"/>
    <w:rsid w:val="00A6786D"/>
    <w:rsid w:val="00BE2F98"/>
    <w:rsid w:val="00BE6ADD"/>
    <w:rsid w:val="00BF1825"/>
    <w:rsid w:val="00C21F78"/>
    <w:rsid w:val="00C420D8"/>
    <w:rsid w:val="00E274AC"/>
    <w:rsid w:val="00E3274D"/>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32FA"/>
  <w14:defaultImageDpi w14:val="32767"/>
  <w15:chartTrackingRefBased/>
  <w15:docId w15:val="{911ACDBD-427D-934F-A36A-228DA4F9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DD"/>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ADD"/>
    <w:rPr>
      <w:sz w:val="16"/>
      <w:szCs w:val="16"/>
    </w:rPr>
  </w:style>
  <w:style w:type="paragraph" w:styleId="CommentText">
    <w:name w:val="annotation text"/>
    <w:basedOn w:val="Normal"/>
    <w:link w:val="CommentTextChar"/>
    <w:uiPriority w:val="99"/>
    <w:semiHidden/>
    <w:unhideWhenUsed/>
    <w:rsid w:val="00BE6ADD"/>
    <w:rPr>
      <w:sz w:val="20"/>
      <w:szCs w:val="20"/>
    </w:rPr>
  </w:style>
  <w:style w:type="character" w:customStyle="1" w:styleId="CommentTextChar">
    <w:name w:val="Comment Text Char"/>
    <w:basedOn w:val="DefaultParagraphFont"/>
    <w:link w:val="CommentText"/>
    <w:uiPriority w:val="99"/>
    <w:semiHidden/>
    <w:rsid w:val="00BE6ADD"/>
    <w:rPr>
      <w:rFonts w:ascii="Times New Roman" w:hAnsi="Times New Roman"/>
      <w:sz w:val="20"/>
      <w:szCs w:val="20"/>
    </w:rPr>
  </w:style>
  <w:style w:type="paragraph" w:styleId="BalloonText">
    <w:name w:val="Balloon Text"/>
    <w:basedOn w:val="Normal"/>
    <w:link w:val="BalloonTextChar"/>
    <w:uiPriority w:val="99"/>
    <w:semiHidden/>
    <w:unhideWhenUsed/>
    <w:rsid w:val="00BE6ADD"/>
    <w:rPr>
      <w:rFonts w:cs="Times New Roman"/>
      <w:sz w:val="18"/>
      <w:szCs w:val="18"/>
    </w:rPr>
  </w:style>
  <w:style w:type="character" w:customStyle="1" w:styleId="BalloonTextChar">
    <w:name w:val="Balloon Text Char"/>
    <w:basedOn w:val="DefaultParagraphFont"/>
    <w:link w:val="BalloonText"/>
    <w:uiPriority w:val="99"/>
    <w:semiHidden/>
    <w:rsid w:val="00BE6ADD"/>
    <w:rPr>
      <w:rFonts w:ascii="Times New Roman" w:hAnsi="Times New Roman" w:cs="Times New Roman"/>
      <w:sz w:val="18"/>
      <w:szCs w:val="18"/>
    </w:rPr>
  </w:style>
  <w:style w:type="character" w:styleId="Hyperlink">
    <w:name w:val="Hyperlink"/>
    <w:basedOn w:val="DefaultParagraphFont"/>
    <w:uiPriority w:val="99"/>
    <w:unhideWhenUsed/>
    <w:rsid w:val="00C420D8"/>
    <w:rPr>
      <w:color w:val="0563C1" w:themeColor="hyperlink"/>
      <w:u w:val="single"/>
    </w:rPr>
  </w:style>
  <w:style w:type="character" w:customStyle="1" w:styleId="UnresolvedMention">
    <w:name w:val="Unresolved Mention"/>
    <w:basedOn w:val="DefaultParagraphFont"/>
    <w:uiPriority w:val="99"/>
    <w:rsid w:val="00C420D8"/>
    <w:rPr>
      <w:color w:val="808080"/>
      <w:shd w:val="clear" w:color="auto" w:fill="E6E6E6"/>
    </w:rPr>
  </w:style>
  <w:style w:type="character" w:styleId="FollowedHyperlink">
    <w:name w:val="FollowedHyperlink"/>
    <w:basedOn w:val="DefaultParagraphFont"/>
    <w:uiPriority w:val="99"/>
    <w:semiHidden/>
    <w:unhideWhenUsed/>
    <w:rsid w:val="00443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13432">
      <w:bodyDiv w:val="1"/>
      <w:marLeft w:val="0"/>
      <w:marRight w:val="0"/>
      <w:marTop w:val="0"/>
      <w:marBottom w:val="0"/>
      <w:divBdr>
        <w:top w:val="none" w:sz="0" w:space="0" w:color="auto"/>
        <w:left w:val="none" w:sz="0" w:space="0" w:color="auto"/>
        <w:bottom w:val="none" w:sz="0" w:space="0" w:color="auto"/>
        <w:right w:val="none" w:sz="0" w:space="0" w:color="auto"/>
      </w:divBdr>
    </w:div>
    <w:div w:id="799760817">
      <w:bodyDiv w:val="1"/>
      <w:marLeft w:val="0"/>
      <w:marRight w:val="0"/>
      <w:marTop w:val="0"/>
      <w:marBottom w:val="0"/>
      <w:divBdr>
        <w:top w:val="none" w:sz="0" w:space="0" w:color="auto"/>
        <w:left w:val="none" w:sz="0" w:space="0" w:color="auto"/>
        <w:bottom w:val="none" w:sz="0" w:space="0" w:color="auto"/>
        <w:right w:val="none" w:sz="0" w:space="0" w:color="auto"/>
      </w:divBdr>
    </w:div>
    <w:div w:id="969676894">
      <w:bodyDiv w:val="1"/>
      <w:marLeft w:val="0"/>
      <w:marRight w:val="0"/>
      <w:marTop w:val="0"/>
      <w:marBottom w:val="0"/>
      <w:divBdr>
        <w:top w:val="none" w:sz="0" w:space="0" w:color="auto"/>
        <w:left w:val="none" w:sz="0" w:space="0" w:color="auto"/>
        <w:bottom w:val="none" w:sz="0" w:space="0" w:color="auto"/>
        <w:right w:val="none" w:sz="0" w:space="0" w:color="auto"/>
      </w:divBdr>
    </w:div>
    <w:div w:id="14556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davines@nova.edu" TargetMode="External"/><Relationship Id="rId13" Type="http://schemas.openxmlformats.org/officeDocument/2006/relationships/hyperlink" Target="mailto:kr550@nova.edu" TargetMode="External"/><Relationship Id="rId3" Type="http://schemas.openxmlformats.org/officeDocument/2006/relationships/settings" Target="settings.xml"/><Relationship Id="rId7" Type="http://schemas.openxmlformats.org/officeDocument/2006/relationships/hyperlink" Target="mailto:cerminar@nova.edu" TargetMode="External"/><Relationship Id="rId12" Type="http://schemas.openxmlformats.org/officeDocument/2006/relationships/hyperlink" Target="mailto:ts1595@mynsu.nov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review@nova.edu" TargetMode="External"/><Relationship Id="rId11" Type="http://schemas.openxmlformats.org/officeDocument/2006/relationships/hyperlink" Target="mailto:bs1080@mynsu.nova.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garon@nova.edu" TargetMode="External"/><Relationship Id="rId4" Type="http://schemas.openxmlformats.org/officeDocument/2006/relationships/webSettings" Target="webSettings.xml"/><Relationship Id="rId9" Type="http://schemas.openxmlformats.org/officeDocument/2006/relationships/hyperlink" Target="mailto:vfeliu@nov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dc:creator>
  <cp:keywords/>
  <dc:description/>
  <cp:lastModifiedBy>Becka Rich</cp:lastModifiedBy>
  <cp:revision>2</cp:revision>
  <dcterms:created xsi:type="dcterms:W3CDTF">2018-05-02T02:40:00Z</dcterms:created>
  <dcterms:modified xsi:type="dcterms:W3CDTF">2018-05-02T02:40:00Z</dcterms:modified>
</cp:coreProperties>
</file>